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8" w:lineRule="auto"/>
        <w:jc w:val="center"/>
        <w:outlineLvl w:val="0"/>
        <w:rPr>
          <w:rFonts w:ascii="方正小标宋_GBK" w:eastAsia="方正小标宋_GBK"/>
          <w:bCs/>
          <w:kern w:val="44"/>
          <w:sz w:val="30"/>
          <w:szCs w:val="30"/>
        </w:rPr>
      </w:pPr>
      <w:bookmarkStart w:id="0" w:name="_GoBack"/>
      <w:bookmarkEnd w:id="0"/>
      <w:r>
        <w:rPr>
          <w:rFonts w:hint="eastAsia" w:ascii="方正小标宋_GBK" w:eastAsia="方正小标宋_GBK"/>
          <w:bCs/>
          <w:kern w:val="44"/>
          <w:sz w:val="30"/>
          <w:szCs w:val="30"/>
        </w:rPr>
        <w:t>柳州市融安县社会保险领域基层政务公开标准目录</w:t>
      </w:r>
    </w:p>
    <w:tbl>
      <w:tblPr>
        <w:tblStyle w:val="3"/>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073"/>
        <w:gridCol w:w="1106"/>
        <w:gridCol w:w="1872"/>
        <w:gridCol w:w="2321"/>
        <w:gridCol w:w="1113"/>
        <w:gridCol w:w="896"/>
        <w:gridCol w:w="1474"/>
        <w:gridCol w:w="626"/>
        <w:gridCol w:w="626"/>
        <w:gridCol w:w="467"/>
        <w:gridCol w:w="626"/>
        <w:gridCol w:w="62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217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7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9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7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9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continue"/>
            <w:vAlign w:val="center"/>
          </w:tcPr>
          <w:p>
            <w:pPr>
              <w:widowControl/>
              <w:jc w:val="left"/>
              <w:rPr>
                <w:rFonts w:ascii="Times New Roman" w:hAnsi="Times New Roman"/>
                <w:color w:val="000000"/>
                <w:kern w:val="0"/>
                <w:sz w:val="15"/>
                <w:szCs w:val="15"/>
              </w:rPr>
            </w:pPr>
          </w:p>
        </w:tc>
        <w:tc>
          <w:tcPr>
            <w:tcW w:w="107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0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72" w:type="dxa"/>
            <w:vMerge w:val="continue"/>
            <w:vAlign w:val="center"/>
          </w:tcPr>
          <w:p>
            <w:pPr>
              <w:widowControl/>
              <w:rPr>
                <w:rFonts w:ascii="黑体" w:hAnsi="宋体" w:eastAsia="黑体" w:cs="宋体"/>
                <w:color w:val="000000"/>
                <w:kern w:val="0"/>
                <w:sz w:val="22"/>
              </w:rPr>
            </w:pPr>
          </w:p>
        </w:tc>
        <w:tc>
          <w:tcPr>
            <w:tcW w:w="2321" w:type="dxa"/>
            <w:vMerge w:val="continue"/>
            <w:vAlign w:val="center"/>
          </w:tcPr>
          <w:p>
            <w:pPr>
              <w:widowControl/>
              <w:jc w:val="left"/>
              <w:rPr>
                <w:rFonts w:ascii="黑体" w:hAnsi="宋体" w:eastAsia="黑体" w:cs="宋体"/>
                <w:color w:val="000000"/>
                <w:kern w:val="0"/>
                <w:sz w:val="22"/>
              </w:rPr>
            </w:pPr>
          </w:p>
        </w:tc>
        <w:tc>
          <w:tcPr>
            <w:tcW w:w="1113" w:type="dxa"/>
            <w:vMerge w:val="continue"/>
            <w:vAlign w:val="center"/>
          </w:tcPr>
          <w:p>
            <w:pPr>
              <w:widowControl/>
              <w:jc w:val="left"/>
              <w:rPr>
                <w:rFonts w:ascii="黑体" w:hAnsi="宋体" w:eastAsia="黑体" w:cs="宋体"/>
                <w:color w:val="000000"/>
                <w:kern w:val="0"/>
                <w:sz w:val="22"/>
              </w:rPr>
            </w:pPr>
          </w:p>
        </w:tc>
        <w:tc>
          <w:tcPr>
            <w:tcW w:w="896" w:type="dxa"/>
            <w:vMerge w:val="continue"/>
            <w:vAlign w:val="center"/>
          </w:tcPr>
          <w:p>
            <w:pPr>
              <w:widowControl/>
              <w:jc w:val="left"/>
              <w:rPr>
                <w:rFonts w:ascii="黑体" w:hAnsi="宋体" w:eastAsia="黑体" w:cs="宋体"/>
                <w:color w:val="000000"/>
                <w:kern w:val="0"/>
                <w:sz w:val="22"/>
              </w:rPr>
            </w:pPr>
          </w:p>
        </w:tc>
        <w:tc>
          <w:tcPr>
            <w:tcW w:w="1474" w:type="dxa"/>
            <w:vMerge w:val="continue"/>
            <w:vAlign w:val="center"/>
          </w:tcPr>
          <w:p>
            <w:pPr>
              <w:widowControl/>
              <w:jc w:val="left"/>
              <w:rPr>
                <w:rFonts w:ascii="黑体" w:hAnsi="宋体" w:eastAsia="黑体" w:cs="宋体"/>
                <w:kern w:val="0"/>
                <w:sz w:val="22"/>
              </w:rPr>
            </w:pP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3.《国务院关于机关事业单位工作人员养老保险制度改革的决定》（国发﹝2015﹞2号）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107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1073" w:type="dxa"/>
            <w:vMerge w:val="continue"/>
            <w:vAlign w:val="center"/>
          </w:tcPr>
          <w:p>
            <w:pPr>
              <w:jc w:val="cente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3.《社会保险费征缴暂行条例》（中华人民共和国国务院令710号）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1872" w:type="dxa"/>
            <w:vMerge w:val="continue"/>
            <w:vAlign w:val="center"/>
          </w:tcPr>
          <w:p>
            <w:pPr>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466" w:type="dxa"/>
            <w:tcBorders>
              <w:bottom w:val="single" w:color="auto" w:sz="4" w:space="0"/>
            </w:tcBorders>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1073" w:type="dxa"/>
            <w:vMerge w:val="restart"/>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106" w:type="dxa"/>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1872" w:type="dxa"/>
            <w:vMerge w:val="restart"/>
            <w:tcBorders>
              <w:bottom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896" w:type="dxa"/>
            <w:vMerge w:val="restart"/>
            <w:tcBorders>
              <w:bottom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ind w:left="357" w:leftChars="170" w:firstLine="900" w:firstLineChars="500"/>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tcBorders>
              <w:bottom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spacing w:afterLines="401"/>
              <w:jc w:val="center"/>
              <w:rPr>
                <w:rFonts w:ascii="仿宋_GB2312" w:hAnsi="宋体" w:eastAsia="仿宋_GB2312"/>
                <w:color w:val="000000"/>
                <w:sz w:val="18"/>
                <w:szCs w:val="18"/>
              </w:rPr>
            </w:pPr>
          </w:p>
          <w:p>
            <w:pPr>
              <w:spacing w:afterLines="401"/>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1"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■基层公共服务平台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3.《国务院办公厅关于转发人力资源社会保障部财政部城镇企业职工基本养老保险关系转移接续暂行办法的通知》（国办发﹝2009﹞66号）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1872" w:type="dxa"/>
            <w:vAlign w:val="center"/>
          </w:tcPr>
          <w:p>
            <w:pPr>
              <w:jc w:val="left"/>
              <w:rPr>
                <w:rFonts w:ascii="仿宋_GB2312" w:hAnsi="宋体" w:eastAsia="仿宋_GB2312"/>
                <w:color w:val="000000"/>
                <w:sz w:val="18"/>
                <w:szCs w:val="18"/>
              </w:rPr>
            </w:pPr>
          </w:p>
          <w:p>
            <w:pPr>
              <w:jc w:val="left"/>
              <w:rPr>
                <w:rFonts w:hint="eastAsia"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3.《人力资源社会保障部财政部关于机关事业单位基本养老保险关系和职业年金转移接续有关问题的通知》（人社部规﹝2017﹞1号）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hint="eastAsia"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both"/>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both"/>
              <w:rPr>
                <w:lang w:val="en-US" w:eastAsia="zh-CN"/>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7"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highlight w:val="red"/>
              </w:rPr>
            </w:pPr>
            <w:r>
              <w:rPr>
                <w:rFonts w:hint="eastAsia" w:ascii="仿宋_GB2312" w:hAnsi="宋体" w:eastAsia="仿宋_GB2312"/>
                <w:color w:val="000000"/>
                <w:sz w:val="18"/>
                <w:szCs w:val="18"/>
              </w:rPr>
              <w:t xml:space="preserve">■基层公共服务平台 </w:t>
            </w:r>
          </w:p>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1872" w:type="dxa"/>
            <w:vMerge w:val="continue"/>
            <w:vAlign w:val="center"/>
          </w:tcPr>
          <w:p>
            <w:pPr>
              <w:jc w:val="left"/>
              <w:rPr>
                <w:rFonts w:ascii="仿宋_GB2312" w:hAnsi="宋体" w:eastAsia="仿宋_GB2312"/>
                <w:color w:val="000000"/>
                <w:sz w:val="18"/>
                <w:szCs w:val="18"/>
              </w:rPr>
            </w:pP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3.《人力资源社会保障部财政部关于机关事业单位基本养老保险关系和职业年金转移接续有关问题的通知》（人社部规﹝2017﹞1号）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1872" w:type="dxa"/>
            <w:vMerge w:val="continue"/>
            <w:vAlign w:val="center"/>
          </w:tcPr>
          <w:p>
            <w:pPr>
              <w:jc w:val="left"/>
              <w:rPr>
                <w:rFonts w:ascii="仿宋_GB2312" w:hAnsi="宋体" w:eastAsia="仿宋_GB2312"/>
                <w:color w:val="000000"/>
                <w:sz w:val="18"/>
                <w:szCs w:val="18"/>
              </w:rPr>
            </w:pP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3.《人力资源社会保障部财政部关于印发＜城乡养老保险制度衔接暂行办法＞的通知》（人社部发﹝2014﹞17号）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3.《人力资源社会保障部财政部总参谋部总政治部总后勤部关于军人退役基本养老保险关系转移接续有关问题的通知》（后财﹝2015﹞1726号）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8"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1872"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3.《人力资源和社会保障部＜关于贯彻落实国务院办公厅转发城镇企业职工基本养老保险关系转移接续暂行办法的通知》（人社部发﹝2009﹞187号）</w:t>
            </w:r>
          </w:p>
        </w:tc>
        <w:tc>
          <w:tcPr>
            <w:tcW w:w="11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sz w:val="18"/>
                <w:szCs w:val="18"/>
              </w:rPr>
            </w:pPr>
            <w:r>
              <w:rPr>
                <w:rFonts w:ascii="仿宋_GB2312" w:hAnsi="宋体" w:eastAsia="仿宋_GB2312"/>
                <w:sz w:val="18"/>
                <w:szCs w:val="18"/>
              </w:rPr>
              <w:t>33</w:t>
            </w:r>
          </w:p>
        </w:tc>
        <w:tc>
          <w:tcPr>
            <w:tcW w:w="1073" w:type="dxa"/>
            <w:vAlign w:val="center"/>
          </w:tcPr>
          <w:p>
            <w:pPr>
              <w:jc w:val="center"/>
              <w:rPr>
                <w:rFonts w:ascii="仿宋_GB2312" w:hAnsi="宋体" w:eastAsia="仿宋_GB2312"/>
                <w:sz w:val="18"/>
                <w:szCs w:val="18"/>
              </w:rPr>
            </w:pPr>
            <w:r>
              <w:rPr>
                <w:rFonts w:hint="eastAsia" w:ascii="仿宋_GB2312" w:hAnsi="宋体" w:eastAsia="仿宋_GB2312"/>
                <w:sz w:val="18"/>
                <w:szCs w:val="18"/>
              </w:rPr>
              <w:t>工伤保险服务</w:t>
            </w:r>
          </w:p>
        </w:tc>
        <w:tc>
          <w:tcPr>
            <w:tcW w:w="1106" w:type="dxa"/>
            <w:vAlign w:val="center"/>
          </w:tcPr>
          <w:p>
            <w:pPr>
              <w:rPr>
                <w:rFonts w:ascii="仿宋_GB2312" w:hAnsi="宋体" w:eastAsia="仿宋_GB2312"/>
                <w:sz w:val="18"/>
                <w:szCs w:val="18"/>
              </w:rPr>
            </w:pPr>
            <w:r>
              <w:rPr>
                <w:rFonts w:hint="eastAsia" w:ascii="仿宋_GB2312" w:hAnsi="宋体" w:eastAsia="仿宋_GB2312"/>
                <w:sz w:val="18"/>
                <w:szCs w:val="18"/>
              </w:rPr>
              <w:t>工伤事故备案</w:t>
            </w:r>
          </w:p>
        </w:tc>
        <w:tc>
          <w:tcPr>
            <w:tcW w:w="1872" w:type="dxa"/>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321" w:type="dxa"/>
            <w:vAlign w:val="center"/>
          </w:tcPr>
          <w:p>
            <w:pPr>
              <w:rPr>
                <w:rFonts w:ascii="仿宋_GB2312" w:hAnsi="宋体" w:eastAsia="仿宋_GB2312"/>
                <w:sz w:val="18"/>
                <w:szCs w:val="18"/>
              </w:rPr>
            </w:pPr>
            <w:r>
              <w:rPr>
                <w:rFonts w:hint="eastAsia" w:ascii="仿宋_GB2312" w:hAnsi="宋体" w:eastAsia="仿宋_GB2312"/>
                <w:sz w:val="18"/>
                <w:szCs w:val="18"/>
              </w:rPr>
              <w:t>1.《中华人民共和国政府信息公开条例》（中华人民共和国国务院令第711号）</w:t>
            </w:r>
          </w:p>
          <w:p>
            <w:pPr>
              <w:rPr>
                <w:rFonts w:ascii="仿宋_GB2312" w:hAnsi="宋体" w:eastAsia="仿宋_GB2312"/>
                <w:sz w:val="18"/>
                <w:szCs w:val="18"/>
              </w:rPr>
            </w:pPr>
            <w:r>
              <w:rPr>
                <w:rFonts w:hint="eastAsia" w:ascii="仿宋_GB2312" w:hAnsi="宋体" w:eastAsia="仿宋_GB2312"/>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sz w:val="18"/>
                <w:szCs w:val="18"/>
              </w:rPr>
            </w:pPr>
            <w:r>
              <w:rPr>
                <w:rFonts w:hint="eastAsia" w:ascii="仿宋_GB2312" w:hAnsi="宋体" w:eastAsia="仿宋_GB2312"/>
                <w:sz w:val="18"/>
                <w:szCs w:val="18"/>
              </w:rPr>
              <w:t>3.《工伤保险条例》（中华人民共和国国务院令第586号）</w:t>
            </w:r>
          </w:p>
        </w:tc>
        <w:tc>
          <w:tcPr>
            <w:tcW w:w="1113"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896"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融安县</w:t>
            </w:r>
            <w:r>
              <w:rPr>
                <w:rFonts w:hint="eastAsia" w:ascii="仿宋_GB2312" w:hAnsi="宋体" w:eastAsia="仿宋_GB2312"/>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Align w:val="center"/>
          </w:tcPr>
          <w:p>
            <w:pPr>
              <w:jc w:val="left"/>
              <w:rPr>
                <w:rFonts w:ascii="仿宋_GB2312" w:hAnsi="宋体" w:eastAsia="仿宋_GB2312"/>
                <w:sz w:val="18"/>
                <w:szCs w:val="18"/>
              </w:rPr>
            </w:pPr>
            <w:r>
              <w:rPr>
                <w:rFonts w:hint="eastAsia" w:ascii="仿宋_GB2312" w:hAnsi="宋体" w:eastAsia="仿宋_GB2312"/>
                <w:sz w:val="18"/>
                <w:szCs w:val="18"/>
              </w:rPr>
              <w:t xml:space="preserve">  </w:t>
            </w:r>
          </w:p>
          <w:p>
            <w:pPr>
              <w:jc w:val="left"/>
              <w:rPr>
                <w:rFonts w:ascii="仿宋_GB2312" w:hAnsi="宋体" w:eastAsia="仿宋_GB2312"/>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sz w:val="18"/>
                <w:szCs w:val="18"/>
              </w:rPr>
            </w:pPr>
            <w:r>
              <w:rPr>
                <w:rFonts w:hint="eastAsia" w:ascii="仿宋_GB2312" w:hAnsi="宋体" w:eastAsia="仿宋_GB2312"/>
                <w:sz w:val="18"/>
                <w:szCs w:val="18"/>
              </w:rPr>
              <w:t>■政务服务中心</w:t>
            </w:r>
          </w:p>
          <w:p>
            <w:pPr>
              <w:jc w:val="left"/>
              <w:rPr>
                <w:rFonts w:ascii="仿宋_GB2312" w:hAnsi="宋体" w:eastAsia="仿宋_GB2312"/>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sz w:val="18"/>
                <w:szCs w:val="18"/>
              </w:rPr>
              <w:br w:type="textWrapping"/>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4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26"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56" w:type="dxa"/>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3.《工伤保险条例》（中华人民共和国国务院令第586号）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3.《失业保险条例》（中华人民共和国国务院令第258号）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3.《失业保险条例》（中华人民共和国国务院令第258号）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r>
              <w:rPr>
                <w:rFonts w:hint="eastAsia" w:ascii="仿宋_GB2312" w:hAnsi="宋体" w:eastAsia="仿宋_GB2312"/>
                <w:color w:val="000000"/>
                <w:sz w:val="18"/>
                <w:szCs w:val="18"/>
              </w:rPr>
              <w:br w:type="textWrapping"/>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jc w:val="left"/>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67</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3.《人力资源和社会保障部关于印发“中华人民共和国社会保障卡”管理办法的通知》（人社部发[2011]47号）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1073" w:type="dxa"/>
            <w:vMerge w:val="continue"/>
            <w:vAlign w:val="center"/>
          </w:tcPr>
          <w:p>
            <w:pPr>
              <w:jc w:val="cente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6" w:hRule="atLeast"/>
          <w:jc w:val="center"/>
        </w:trPr>
        <w:tc>
          <w:tcPr>
            <w:tcW w:w="46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1073" w:type="dxa"/>
            <w:vMerge w:val="continue"/>
            <w:vAlign w:val="center"/>
          </w:tcPr>
          <w:p>
            <w:pPr>
              <w:jc w:val="cente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1872" w:type="dxa"/>
            <w:vMerge w:val="continue"/>
            <w:vAlign w:val="center"/>
          </w:tcPr>
          <w:p>
            <w:pPr>
              <w:jc w:val="left"/>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0</w:t>
            </w:r>
          </w:p>
        </w:tc>
        <w:tc>
          <w:tcPr>
            <w:tcW w:w="107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1872"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32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1.《中华人民共和国政府信息公开条例》（中华人民共和国国务院令第711号）</w:t>
            </w:r>
          </w:p>
          <w:p>
            <w:pPr>
              <w:rPr>
                <w:rFonts w:ascii="仿宋_GB2312" w:hAnsi="宋体" w:eastAsia="仿宋_GB2312"/>
                <w:color w:val="000000"/>
                <w:sz w:val="18"/>
                <w:szCs w:val="18"/>
              </w:rPr>
            </w:pPr>
            <w:r>
              <w:rPr>
                <w:rFonts w:hint="eastAsia" w:ascii="仿宋_GB2312" w:hAnsi="宋体" w:eastAsia="仿宋_GB2312"/>
                <w:color w:val="00000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rPr>
                <w:rFonts w:ascii="仿宋_GB2312" w:hAnsi="宋体" w:eastAsia="仿宋_GB2312"/>
                <w:color w:val="000000"/>
                <w:sz w:val="18"/>
                <w:szCs w:val="18"/>
              </w:rPr>
            </w:pPr>
            <w:r>
              <w:rPr>
                <w:rFonts w:hint="eastAsia" w:ascii="仿宋_GB2312" w:hAnsi="宋体" w:eastAsia="仿宋_GB2312"/>
                <w:color w:val="000000"/>
                <w:sz w:val="18"/>
                <w:szCs w:val="18"/>
              </w:rPr>
              <w:t>3.《人力资源和社会保障部关于印发“中华人民共和国社会保障卡”管理办法的通知》（人社部发[2011]47号）</w:t>
            </w:r>
          </w:p>
        </w:tc>
        <w:tc>
          <w:tcPr>
            <w:tcW w:w="1113"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8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融安县</w:t>
            </w:r>
            <w:r>
              <w:rPr>
                <w:rFonts w:hint="eastAsia" w:ascii="仿宋_GB2312" w:hAnsi="宋体" w:eastAsia="仿宋_GB2312"/>
                <w:color w:val="000000"/>
                <w:sz w:val="18"/>
                <w:szCs w:val="18"/>
              </w:rPr>
              <w:t>人力资源和社会保障局</w:t>
            </w:r>
            <w:r>
              <w:rPr>
                <w:rFonts w:hint="eastAsia" w:ascii="仿宋_GB2312" w:hAnsi="宋体" w:eastAsia="仿宋_GB2312"/>
                <w:color w:val="000000"/>
                <w:sz w:val="18"/>
                <w:szCs w:val="18"/>
                <w:lang w:eastAsia="zh-CN"/>
              </w:rPr>
              <w:t>、各乡镇人民政府</w:t>
            </w:r>
          </w:p>
        </w:tc>
        <w:tc>
          <w:tcPr>
            <w:tcW w:w="147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1</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1872" w:type="dxa"/>
            <w:vMerge w:val="continue"/>
            <w:vAlign w:val="center"/>
          </w:tcPr>
          <w:p>
            <w:pPr>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2</w:t>
            </w:r>
          </w:p>
        </w:tc>
        <w:tc>
          <w:tcPr>
            <w:tcW w:w="1073" w:type="dxa"/>
            <w:vMerge w:val="continue"/>
            <w:vAlign w:val="center"/>
          </w:tcPr>
          <w:p>
            <w:pPr>
              <w:jc w:val="cente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1872" w:type="dxa"/>
            <w:vMerge w:val="continue"/>
            <w:vAlign w:val="center"/>
          </w:tcPr>
          <w:p>
            <w:pPr>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3</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1872" w:type="dxa"/>
            <w:vMerge w:val="continue"/>
            <w:vAlign w:val="center"/>
          </w:tcPr>
          <w:p>
            <w:pPr>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4</w:t>
            </w:r>
          </w:p>
        </w:tc>
        <w:tc>
          <w:tcPr>
            <w:tcW w:w="1073" w:type="dxa"/>
            <w:vMerge w:val="continue"/>
            <w:vAlign w:val="center"/>
          </w:tcPr>
          <w:p>
            <w:pPr>
              <w:rPr>
                <w:rFonts w:ascii="仿宋_GB2312" w:hAnsi="宋体" w:eastAsia="仿宋_GB2312"/>
                <w:color w:val="000000"/>
                <w:sz w:val="18"/>
                <w:szCs w:val="18"/>
              </w:rPr>
            </w:pPr>
          </w:p>
        </w:tc>
        <w:tc>
          <w:tcPr>
            <w:tcW w:w="11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1872" w:type="dxa"/>
            <w:vMerge w:val="continue"/>
            <w:vAlign w:val="center"/>
          </w:tcPr>
          <w:p>
            <w:pPr>
              <w:rPr>
                <w:rFonts w:ascii="仿宋_GB2312" w:hAnsi="宋体" w:eastAsia="仿宋_GB2312"/>
                <w:color w:val="000000"/>
                <w:sz w:val="18"/>
                <w:szCs w:val="18"/>
              </w:rPr>
            </w:pPr>
          </w:p>
        </w:tc>
        <w:tc>
          <w:tcPr>
            <w:tcW w:w="2321" w:type="dxa"/>
            <w:vMerge w:val="continue"/>
            <w:vAlign w:val="center"/>
          </w:tcPr>
          <w:p>
            <w:pPr>
              <w:rPr>
                <w:rFonts w:ascii="仿宋_GB2312" w:hAnsi="宋体" w:eastAsia="仿宋_GB2312"/>
                <w:color w:val="000000"/>
                <w:sz w:val="18"/>
                <w:szCs w:val="18"/>
              </w:rPr>
            </w:pPr>
          </w:p>
        </w:tc>
        <w:tc>
          <w:tcPr>
            <w:tcW w:w="1113" w:type="dxa"/>
            <w:vMerge w:val="continue"/>
            <w:vAlign w:val="center"/>
          </w:tcPr>
          <w:p>
            <w:pPr>
              <w:rPr>
                <w:rFonts w:ascii="仿宋_GB2312" w:hAnsi="宋体" w:eastAsia="仿宋_GB2312"/>
                <w:color w:val="000000"/>
                <w:sz w:val="18"/>
                <w:szCs w:val="18"/>
              </w:rPr>
            </w:pPr>
          </w:p>
        </w:tc>
        <w:tc>
          <w:tcPr>
            <w:tcW w:w="896" w:type="dxa"/>
            <w:vMerge w:val="continue"/>
            <w:vAlign w:val="center"/>
          </w:tcPr>
          <w:p>
            <w:pPr>
              <w:rPr>
                <w:rFonts w:ascii="仿宋_GB2312" w:hAnsi="宋体" w:eastAsia="仿宋_GB2312"/>
                <w:color w:val="000000"/>
                <w:sz w:val="18"/>
                <w:szCs w:val="18"/>
              </w:rPr>
            </w:pPr>
          </w:p>
        </w:tc>
        <w:tc>
          <w:tcPr>
            <w:tcW w:w="1474" w:type="dxa"/>
            <w:vMerge w:val="continue"/>
            <w:vAlign w:val="center"/>
          </w:tcPr>
          <w:p>
            <w:pPr>
              <w:rPr>
                <w:rFonts w:ascii="仿宋_GB2312" w:hAnsi="宋体" w:eastAsia="仿宋_GB2312"/>
                <w:color w:val="000000"/>
                <w:sz w:val="18"/>
                <w:szCs w:val="18"/>
              </w:rPr>
            </w:pP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62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restart"/>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75</w:t>
            </w:r>
          </w:p>
        </w:tc>
        <w:tc>
          <w:tcPr>
            <w:tcW w:w="1073" w:type="dxa"/>
            <w:vMerge w:val="restart"/>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宋体" w:eastAsia="仿宋_GB2312"/>
                <w:color w:val="000000"/>
                <w:sz w:val="18"/>
                <w:szCs w:val="18"/>
              </w:rPr>
              <w:t>社会保险经办机构及医疗机构、药品经营单位等社会保险服务机构以欺诈、伪造证明材料或其他手段骗取医疗保障基金支出的处罚</w:t>
            </w:r>
          </w:p>
        </w:tc>
        <w:tc>
          <w:tcPr>
            <w:tcW w:w="1106" w:type="dxa"/>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val="en-US" w:eastAsia="zh-CN"/>
              </w:rPr>
              <w:t>政策法规文件</w:t>
            </w:r>
          </w:p>
        </w:tc>
        <w:tc>
          <w:tcPr>
            <w:tcW w:w="1872"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《中华人民共和国社会保险法》（中华人民共和国主席令第35号，2010年10月28日公布，自2011年7月1日起施行）第八十七条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w:t>
            </w:r>
          </w:p>
        </w:tc>
        <w:tc>
          <w:tcPr>
            <w:tcW w:w="2321" w:type="dxa"/>
            <w:vAlign w:val="center"/>
          </w:tcPr>
          <w:p>
            <w:pPr>
              <w:widowControl/>
              <w:rPr>
                <w:rFonts w:ascii="仿宋_GB2312" w:hAnsi="仿宋_GB2312" w:eastAsia="仿宋_GB2312" w:cs="仿宋_GB2312"/>
                <w:color w:val="000000"/>
                <w:kern w:val="0"/>
                <w:sz w:val="21"/>
                <w:szCs w:val="21"/>
                <w:lang w:val="en-US" w:eastAsia="zh-CN" w:bidi="ar-SA"/>
              </w:rPr>
            </w:pPr>
            <w:r>
              <w:rPr>
                <w:rFonts w:hint="eastAsia" w:ascii="仿宋_GB2312" w:hAnsi="宋体" w:eastAsia="仿宋_GB2312"/>
                <w:color w:val="000000"/>
                <w:sz w:val="18"/>
                <w:szCs w:val="18"/>
              </w:rPr>
              <w:t>（2010年中华人民共和国主席令第35号）第八十二条 任何组织或者个人有权对违反社会保险法律、法规的行为进行举报、投诉</w:t>
            </w:r>
          </w:p>
        </w:tc>
        <w:tc>
          <w:tcPr>
            <w:tcW w:w="1113" w:type="dxa"/>
            <w:vAlign w:val="center"/>
          </w:tcPr>
          <w:p>
            <w:pPr>
              <w:widowControl/>
              <w:jc w:val="center"/>
              <w:rPr>
                <w:rFonts w:ascii="仿宋_GB2312" w:hAnsi="仿宋_GB2312" w:eastAsia="仿宋_GB2312" w:cs="仿宋_GB2312"/>
                <w:color w:val="000000"/>
                <w:kern w:val="0"/>
                <w:sz w:val="21"/>
                <w:szCs w:val="21"/>
                <w:lang w:val="en-US" w:eastAsia="zh-CN" w:bidi="ar-SA"/>
              </w:rPr>
            </w:pPr>
            <w:r>
              <w:rPr>
                <w:rFonts w:hint="eastAsia" w:ascii="仿宋_GB2312" w:hAnsi="宋体" w:eastAsia="仿宋_GB2312"/>
                <w:color w:val="000000"/>
                <w:sz w:val="18"/>
                <w:szCs w:val="18"/>
              </w:rPr>
              <w:t>制定或获取信息之日起10个 工作日内</w:t>
            </w:r>
          </w:p>
        </w:tc>
        <w:tc>
          <w:tcPr>
            <w:tcW w:w="896" w:type="dxa"/>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eastAsia="zh-CN"/>
              </w:rPr>
              <w:t>县医保局、乡（镇）人民政府</w:t>
            </w:r>
          </w:p>
        </w:tc>
        <w:tc>
          <w:tcPr>
            <w:tcW w:w="1474" w:type="dxa"/>
            <w:vAlign w:val="center"/>
          </w:tcPr>
          <w:p>
            <w:r>
              <w:rPr>
                <w:rFonts w:hint="eastAsia"/>
              </w:rPr>
              <w:t>■政府网站</w:t>
            </w:r>
          </w:p>
          <w:p>
            <w:pPr>
              <w:rPr>
                <w:rFonts w:hint="eastAsia"/>
                <w:lang w:eastAsia="zh-CN"/>
              </w:rPr>
            </w:pPr>
            <w:r>
              <w:rPr>
                <w:rFonts w:hint="eastAsia"/>
              </w:rPr>
              <w:t>■</w:t>
            </w:r>
            <w:r>
              <w:rPr>
                <w:rFonts w:hint="eastAsia"/>
                <w:lang w:eastAsia="zh-CN"/>
              </w:rPr>
              <w:t>公开查阅点</w:t>
            </w:r>
          </w:p>
          <w:p>
            <w:pPr>
              <w:rPr>
                <w:rFonts w:hint="eastAsia" w:eastAsia="仿宋_GB2312"/>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政务服务中心</w:t>
            </w:r>
          </w:p>
        </w:tc>
        <w:tc>
          <w:tcPr>
            <w:tcW w:w="626"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626" w:type="dxa"/>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467"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626" w:type="dxa"/>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626"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656" w:type="dxa"/>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both"/>
              <w:rPr>
                <w:rFonts w:hint="eastAsia" w:ascii="仿宋_GB2312" w:hAnsi="仿宋_GB2312" w:eastAsia="仿宋_GB2312" w:cs="仿宋_GB2312"/>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6" w:type="dxa"/>
            <w:vMerge w:val="continue"/>
          </w:tcPr>
          <w:p>
            <w:pPr>
              <w:jc w:val="center"/>
              <w:rPr>
                <w:rFonts w:ascii="仿宋_GB2312" w:hAnsi="宋体" w:eastAsia="仿宋_GB2312"/>
                <w:color w:val="000000"/>
                <w:sz w:val="18"/>
                <w:szCs w:val="18"/>
              </w:rPr>
            </w:pPr>
          </w:p>
        </w:tc>
        <w:tc>
          <w:tcPr>
            <w:tcW w:w="1073" w:type="dxa"/>
            <w:vMerge w:val="continue"/>
          </w:tcPr>
          <w:p>
            <w:pPr>
              <w:rPr>
                <w:rFonts w:ascii="仿宋_GB2312" w:hAnsi="宋体" w:eastAsia="仿宋_GB2312"/>
                <w:color w:val="000000"/>
                <w:sz w:val="18"/>
                <w:szCs w:val="18"/>
              </w:rPr>
            </w:pPr>
          </w:p>
        </w:tc>
        <w:tc>
          <w:tcPr>
            <w:tcW w:w="1106" w:type="dxa"/>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eastAsia="zh-CN"/>
              </w:rPr>
              <w:t>办事指南</w:t>
            </w:r>
          </w:p>
        </w:tc>
        <w:tc>
          <w:tcPr>
            <w:tcW w:w="1872" w:type="dxa"/>
            <w:vMerge w:val="continue"/>
          </w:tcPr>
          <w:p>
            <w:pPr>
              <w:rPr>
                <w:rFonts w:ascii="仿宋_GB2312" w:hAnsi="宋体" w:eastAsia="仿宋_GB2312"/>
                <w:color w:val="000000"/>
                <w:sz w:val="18"/>
                <w:szCs w:val="18"/>
              </w:rPr>
            </w:pPr>
          </w:p>
        </w:tc>
        <w:tc>
          <w:tcPr>
            <w:tcW w:w="2321" w:type="dxa"/>
            <w:vAlign w:val="center"/>
          </w:tcPr>
          <w:p>
            <w:pPr>
              <w:widowControl/>
              <w:jc w:val="left"/>
              <w:rPr>
                <w:rFonts w:ascii="仿宋_GB2312" w:hAnsi="仿宋_GB2312" w:eastAsia="仿宋_GB2312" w:cs="仿宋_GB2312"/>
                <w:color w:val="000000"/>
                <w:kern w:val="0"/>
                <w:sz w:val="21"/>
                <w:szCs w:val="21"/>
                <w:lang w:val="en-US" w:eastAsia="zh-CN" w:bidi="ar-SA"/>
              </w:rPr>
            </w:pPr>
            <w:r>
              <w:rPr>
                <w:rFonts w:hint="eastAsia" w:ascii="仿宋_GB2312" w:hAnsi="Times New Roman" w:eastAsia="仿宋_GB2312"/>
                <w:sz w:val="18"/>
                <w:szCs w:val="18"/>
              </w:rPr>
              <w:t>《中华人民共和国行政处罚法》（2009年8月27日主席令第18号）第五十五条</w:t>
            </w:r>
          </w:p>
        </w:tc>
        <w:tc>
          <w:tcPr>
            <w:tcW w:w="0" w:type="auto"/>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eastAsia="zh-CN"/>
              </w:rPr>
              <w:t>制定或获取信息之日起10个工作日内</w:t>
            </w:r>
          </w:p>
        </w:tc>
        <w:tc>
          <w:tcPr>
            <w:tcW w:w="0" w:type="auto"/>
            <w:vAlign w:val="center"/>
          </w:tcPr>
          <w:p>
            <w:pPr>
              <w:widowControl/>
              <w:jc w:val="left"/>
              <w:rPr>
                <w:rFonts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Cs w:val="21"/>
                <w:lang w:eastAsia="zh-CN"/>
              </w:rPr>
              <w:t>县医保局、乡（镇）人民政府</w:t>
            </w:r>
          </w:p>
        </w:tc>
        <w:tc>
          <w:tcPr>
            <w:tcW w:w="0" w:type="auto"/>
          </w:tcPr>
          <w:p>
            <w:r>
              <w:rPr>
                <w:rFonts w:hint="eastAsia"/>
              </w:rPr>
              <w:t>■政府网站</w:t>
            </w:r>
          </w:p>
          <w:p>
            <w:pPr>
              <w:rPr>
                <w:rFonts w:hint="eastAsia"/>
                <w:lang w:eastAsia="zh-CN"/>
              </w:rPr>
            </w:pPr>
            <w:r>
              <w:rPr>
                <w:rFonts w:hint="eastAsia"/>
              </w:rPr>
              <w:t>■</w:t>
            </w:r>
            <w:r>
              <w:rPr>
                <w:rFonts w:hint="eastAsia"/>
                <w:lang w:eastAsia="zh-CN"/>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政务服务中心</w:t>
            </w:r>
          </w:p>
        </w:tc>
        <w:tc>
          <w:tcPr>
            <w:tcW w:w="0" w:type="auto"/>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0" w:type="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0" w:type="auto"/>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0" w:type="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0" w:type="auto"/>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c>
          <w:tcPr>
            <w:tcW w:w="0" w:type="auto"/>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w:t>
            </w:r>
          </w:p>
          <w:p>
            <w:pPr>
              <w:widowControl/>
              <w:jc w:val="center"/>
              <w:rPr>
                <w:rFonts w:hint="eastAsia" w:ascii="仿宋_GB2312" w:hAnsi="仿宋_GB2312" w:eastAsia="仿宋_GB2312" w:cs="仿宋_GB2312"/>
                <w:color w:val="000000"/>
                <w:kern w:val="0"/>
                <w:sz w:val="21"/>
                <w:szCs w:val="21"/>
                <w:lang w:val="en-US" w:eastAsia="zh-CN" w:bidi="ar-SA"/>
              </w:rPr>
            </w:pPr>
          </w:p>
        </w:tc>
      </w:tr>
    </w:tbl>
    <w:p/>
    <w:sectPr>
      <w:pgSz w:w="16838" w:h="11906" w:orient="landscape"/>
      <w:pgMar w:top="85"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403F8"/>
    <w:rsid w:val="4A8E1F40"/>
    <w:rsid w:val="6624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spacing w:before="100" w:beforeAutospacing="1" w:after="100" w:afterAutospacing="1"/>
      <w:jc w:val="left"/>
      <w:outlineLvl w:val="2"/>
    </w:pPr>
    <w:rPr>
      <w:rFonts w:ascii="宋体" w:hAnsi="宋体"/>
      <w:b/>
      <w:kern w:val="0"/>
      <w:sz w:val="27"/>
      <w:szCs w:val="27"/>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2020-11-30T00:17:00Z</dcterms:created>
  <dc:creator>轻风拂柳</dc:creator>
  <cp:lastModifiedBy>喵~</cp:lastModifiedBy>
  <dcterms:modified xsi:type="dcterms:W3CDTF">2020-11-30T01:22:02Z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