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330" w:line="578" w:lineRule="auto"/>
        <w:jc w:val="center"/>
        <w:outlineLvl w:val="0"/>
        <w:rPr>
          <w:rFonts w:ascii="方正小标宋_GBK" w:eastAsia="方正小标宋_GBK"/>
          <w:bCs/>
          <w:kern w:val="44"/>
          <w:sz w:val="30"/>
          <w:szCs w:val="30"/>
        </w:rPr>
      </w:pPr>
      <w:r>
        <w:rPr>
          <w:rFonts w:hint="eastAsia" w:ascii="方正小标宋_GBK" w:eastAsia="方正小标宋_GBK"/>
          <w:bCs/>
          <w:kern w:val="44"/>
          <w:sz w:val="30"/>
          <w:szCs w:val="30"/>
        </w:rPr>
        <w:t>柳州市融安县社会保险领域基层政务公开标准目录</w:t>
      </w:r>
    </w:p>
    <w:tbl>
      <w:tblPr>
        <w:tblStyle w:val="5"/>
        <w:tblW w:w="13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073"/>
        <w:gridCol w:w="1106"/>
        <w:gridCol w:w="1872"/>
        <w:gridCol w:w="2321"/>
        <w:gridCol w:w="1113"/>
        <w:gridCol w:w="896"/>
        <w:gridCol w:w="1474"/>
        <w:gridCol w:w="626"/>
        <w:gridCol w:w="626"/>
        <w:gridCol w:w="467"/>
        <w:gridCol w:w="626"/>
        <w:gridCol w:w="626"/>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Merge w:val="restart"/>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217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7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2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11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89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7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5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9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8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Merge w:val="continue"/>
            <w:vAlign w:val="center"/>
          </w:tcPr>
          <w:p>
            <w:pPr>
              <w:widowControl/>
              <w:jc w:val="left"/>
              <w:rPr>
                <w:rFonts w:ascii="Times New Roman" w:hAnsi="Times New Roman"/>
                <w:color w:val="000000"/>
                <w:kern w:val="0"/>
                <w:sz w:val="15"/>
                <w:szCs w:val="15"/>
              </w:rPr>
            </w:pPr>
          </w:p>
        </w:tc>
        <w:tc>
          <w:tcPr>
            <w:tcW w:w="107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0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72" w:type="dxa"/>
            <w:vMerge w:val="continue"/>
            <w:vAlign w:val="center"/>
          </w:tcPr>
          <w:p>
            <w:pPr>
              <w:widowControl/>
              <w:rPr>
                <w:rFonts w:ascii="黑体" w:hAnsi="宋体" w:eastAsia="黑体" w:cs="宋体"/>
                <w:color w:val="000000"/>
                <w:kern w:val="0"/>
                <w:sz w:val="22"/>
              </w:rPr>
            </w:pPr>
          </w:p>
        </w:tc>
        <w:tc>
          <w:tcPr>
            <w:tcW w:w="2321" w:type="dxa"/>
            <w:vMerge w:val="continue"/>
            <w:vAlign w:val="center"/>
          </w:tcPr>
          <w:p>
            <w:pPr>
              <w:widowControl/>
              <w:jc w:val="left"/>
              <w:rPr>
                <w:rFonts w:ascii="黑体" w:hAnsi="宋体" w:eastAsia="黑体" w:cs="宋体"/>
                <w:color w:val="000000"/>
                <w:kern w:val="0"/>
                <w:sz w:val="22"/>
              </w:rPr>
            </w:pPr>
          </w:p>
        </w:tc>
        <w:tc>
          <w:tcPr>
            <w:tcW w:w="1113" w:type="dxa"/>
            <w:vMerge w:val="continue"/>
            <w:vAlign w:val="center"/>
          </w:tcPr>
          <w:p>
            <w:pPr>
              <w:widowControl/>
              <w:jc w:val="left"/>
              <w:rPr>
                <w:rFonts w:ascii="黑体" w:hAnsi="宋体" w:eastAsia="黑体" w:cs="宋体"/>
                <w:color w:val="000000"/>
                <w:kern w:val="0"/>
                <w:sz w:val="22"/>
              </w:rPr>
            </w:pPr>
          </w:p>
        </w:tc>
        <w:tc>
          <w:tcPr>
            <w:tcW w:w="896" w:type="dxa"/>
            <w:vMerge w:val="continue"/>
            <w:vAlign w:val="center"/>
          </w:tcPr>
          <w:p>
            <w:pPr>
              <w:widowControl/>
              <w:jc w:val="left"/>
              <w:rPr>
                <w:rFonts w:ascii="黑体" w:hAnsi="宋体" w:eastAsia="黑体" w:cs="宋体"/>
                <w:color w:val="000000"/>
                <w:kern w:val="0"/>
                <w:sz w:val="22"/>
              </w:rPr>
            </w:pPr>
          </w:p>
        </w:tc>
        <w:tc>
          <w:tcPr>
            <w:tcW w:w="1474" w:type="dxa"/>
            <w:vMerge w:val="continue"/>
            <w:vAlign w:val="center"/>
          </w:tcPr>
          <w:p>
            <w:pPr>
              <w:widowControl/>
              <w:jc w:val="left"/>
              <w:rPr>
                <w:rFonts w:ascii="黑体" w:hAnsi="宋体" w:eastAsia="黑体" w:cs="宋体"/>
                <w:kern w:val="0"/>
                <w:sz w:val="22"/>
              </w:rPr>
            </w:pPr>
          </w:p>
        </w:tc>
        <w:tc>
          <w:tcPr>
            <w:tcW w:w="6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5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8"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10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1872"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3.《国务院关于机关事业单位工作人员养老保险制度改革的决定》（国发﹝2015﹞2号）</w:t>
            </w:r>
          </w:p>
        </w:tc>
        <w:tc>
          <w:tcPr>
            <w:tcW w:w="11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1872"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3.《社会保险费征缴暂行条例》（中华人民共和国国务院令710号）</w:t>
            </w:r>
          </w:p>
        </w:tc>
        <w:tc>
          <w:tcPr>
            <w:tcW w:w="11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r>
              <w:rPr>
                <w:rFonts w:hint="eastAsia" w:ascii="仿宋_GB2312" w:hAnsi="宋体" w:eastAsia="仿宋_GB2312"/>
                <w:color w:val="000000"/>
                <w:sz w:val="18"/>
                <w:szCs w:val="18"/>
              </w:rPr>
              <w:br w:type="textWrapping"/>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10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1872"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3.《社会保险费征缴暂行条例》（中华人民共和国国务院令710号）</w:t>
            </w:r>
          </w:p>
        </w:tc>
        <w:tc>
          <w:tcPr>
            <w:tcW w:w="111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8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6"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10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1872"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3.《社会保险费征缴暂行条例》（中华人民共和国国务院令710号）</w:t>
            </w:r>
          </w:p>
        </w:tc>
        <w:tc>
          <w:tcPr>
            <w:tcW w:w="111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10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1872"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3.《社会保险费征缴暂行条例》（中华人民共和国国务院令710号）</w:t>
            </w:r>
          </w:p>
        </w:tc>
        <w:tc>
          <w:tcPr>
            <w:tcW w:w="111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8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107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1872"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3.《社会保险费征缴暂行条例》（中华人民共和国国务院令710号）</w:t>
            </w:r>
          </w:p>
        </w:tc>
        <w:tc>
          <w:tcPr>
            <w:tcW w:w="11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10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1872"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3.《社会保险费征缴暂行条例》（中华人民共和国国务院令710号）</w:t>
            </w:r>
          </w:p>
        </w:tc>
        <w:tc>
          <w:tcPr>
            <w:tcW w:w="111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8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1073" w:type="dxa"/>
            <w:vMerge w:val="continue"/>
            <w:vAlign w:val="center"/>
          </w:tcPr>
          <w:p>
            <w:pPr>
              <w:jc w:val="cente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9"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10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1872"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3.《社会保险费征缴暂行条例》（中华人民共和国国务院令710号）</w:t>
            </w:r>
          </w:p>
        </w:tc>
        <w:tc>
          <w:tcPr>
            <w:tcW w:w="111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7"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1872" w:type="dxa"/>
            <w:vMerge w:val="continue"/>
            <w:vAlign w:val="center"/>
          </w:tcPr>
          <w:p>
            <w:pPr>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466" w:type="dxa"/>
            <w:tcBorders>
              <w:bottom w:val="single" w:color="auto" w:sz="4" w:space="0"/>
            </w:tcBorders>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1073" w:type="dxa"/>
            <w:vMerge w:val="restart"/>
            <w:tcBorders>
              <w:bottom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106" w:type="dxa"/>
            <w:tcBorders>
              <w:bottom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1872" w:type="dxa"/>
            <w:vMerge w:val="restart"/>
            <w:tcBorders>
              <w:bottom w:val="single" w:color="auto" w:sz="4" w:space="0"/>
            </w:tcBorders>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Merge w:val="restart"/>
            <w:tcBorders>
              <w:bottom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1113" w:type="dxa"/>
            <w:vMerge w:val="restart"/>
            <w:tcBorders>
              <w:bottom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896" w:type="dxa"/>
            <w:vMerge w:val="restart"/>
            <w:tcBorders>
              <w:bottom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Merge w:val="restart"/>
            <w:vAlign w:val="center"/>
          </w:tcPr>
          <w:p>
            <w:pPr>
              <w:jc w:val="left"/>
              <w:rPr>
                <w:rFonts w:ascii="仿宋_GB2312" w:hAnsi="宋体" w:eastAsia="仿宋_GB2312"/>
                <w:color w:val="000000"/>
                <w:sz w:val="18"/>
                <w:szCs w:val="18"/>
              </w:rPr>
            </w:pP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p>
            <w:pPr>
              <w:jc w:val="left"/>
              <w:rPr>
                <w:rFonts w:ascii="仿宋_GB2312" w:hAnsi="宋体" w:eastAsia="仿宋_GB2312"/>
                <w:color w:val="000000"/>
                <w:sz w:val="18"/>
                <w:szCs w:val="18"/>
              </w:rPr>
            </w:pPr>
          </w:p>
          <w:p>
            <w:pPr>
              <w:jc w:val="left"/>
              <w:rPr>
                <w:rFonts w:ascii="仿宋_GB2312" w:hAnsi="宋体" w:eastAsia="仿宋_GB2312"/>
                <w:color w:val="000000"/>
                <w:sz w:val="18"/>
                <w:szCs w:val="18"/>
              </w:rPr>
            </w:pPr>
          </w:p>
          <w:p>
            <w:pPr>
              <w:jc w:val="left"/>
              <w:rPr>
                <w:rFonts w:ascii="仿宋_GB2312" w:hAnsi="宋体" w:eastAsia="仿宋_GB2312"/>
                <w:color w:val="000000"/>
                <w:sz w:val="18"/>
                <w:szCs w:val="18"/>
              </w:rPr>
            </w:pPr>
          </w:p>
          <w:p>
            <w:pPr>
              <w:ind w:left="357" w:leftChars="170" w:firstLine="900" w:firstLineChars="500"/>
              <w:jc w:val="left"/>
              <w:rPr>
                <w:rFonts w:ascii="仿宋_GB2312" w:hAnsi="宋体" w:eastAsia="仿宋_GB2312"/>
                <w:color w:val="000000"/>
                <w:sz w:val="18"/>
                <w:szCs w:val="18"/>
              </w:rPr>
            </w:pPr>
          </w:p>
          <w:p>
            <w:pPr>
              <w:ind w:left="357" w:leftChars="170" w:firstLine="900" w:firstLineChars="500"/>
              <w:jc w:val="left"/>
              <w:rPr>
                <w:rFonts w:ascii="仿宋_GB2312" w:hAnsi="宋体" w:eastAsia="仿宋_GB2312"/>
                <w:color w:val="000000"/>
                <w:sz w:val="18"/>
                <w:szCs w:val="18"/>
              </w:rPr>
            </w:pPr>
          </w:p>
          <w:p>
            <w:pPr>
              <w:ind w:left="357" w:leftChars="170" w:firstLine="900" w:firstLineChars="500"/>
              <w:jc w:val="left"/>
              <w:rPr>
                <w:rFonts w:ascii="仿宋_GB2312" w:hAnsi="宋体" w:eastAsia="仿宋_GB2312"/>
                <w:color w:val="000000"/>
                <w:sz w:val="18"/>
                <w:szCs w:val="18"/>
              </w:rPr>
            </w:pPr>
          </w:p>
          <w:p>
            <w:pPr>
              <w:ind w:left="357" w:leftChars="170" w:firstLine="900" w:firstLineChars="500"/>
              <w:jc w:val="left"/>
              <w:rPr>
                <w:rFonts w:ascii="仿宋_GB2312" w:hAnsi="宋体" w:eastAsia="仿宋_GB2312"/>
                <w:color w:val="000000"/>
                <w:sz w:val="18"/>
                <w:szCs w:val="18"/>
              </w:rPr>
            </w:pPr>
          </w:p>
          <w:p>
            <w:pPr>
              <w:ind w:left="357" w:leftChars="170" w:firstLine="900" w:firstLineChars="500"/>
              <w:jc w:val="left"/>
              <w:rPr>
                <w:rFonts w:ascii="仿宋_GB2312" w:hAnsi="宋体" w:eastAsia="仿宋_GB2312"/>
                <w:color w:val="000000"/>
                <w:sz w:val="18"/>
                <w:szCs w:val="18"/>
              </w:rPr>
            </w:pPr>
          </w:p>
          <w:p>
            <w:pPr>
              <w:ind w:left="357" w:leftChars="170" w:firstLine="900" w:firstLineChars="500"/>
              <w:jc w:val="left"/>
              <w:rPr>
                <w:rFonts w:ascii="仿宋_GB2312" w:hAnsi="宋体" w:eastAsia="仿宋_GB2312"/>
                <w:color w:val="000000"/>
                <w:sz w:val="18"/>
                <w:szCs w:val="18"/>
              </w:rPr>
            </w:pP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626" w:type="dxa"/>
            <w:tcBorders>
              <w:bottom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tcBorders>
              <w:bottom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tcBorders>
              <w:bottom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tcBorders>
              <w:bottom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tcBorders>
              <w:bottom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tcBorders>
              <w:bottom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46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spacing w:afterLines="401"/>
              <w:jc w:val="center"/>
              <w:rPr>
                <w:rFonts w:ascii="仿宋_GB2312" w:hAnsi="宋体" w:eastAsia="仿宋_GB2312"/>
                <w:color w:val="000000"/>
                <w:sz w:val="18"/>
                <w:szCs w:val="18"/>
              </w:rPr>
            </w:pPr>
          </w:p>
          <w:p>
            <w:pPr>
              <w:spacing w:afterLines="401"/>
              <w:jc w:val="cente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10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1872"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111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■基层公共服务平台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8"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8" w:hRule="atLeast"/>
          <w:jc w:val="center"/>
        </w:trPr>
        <w:tc>
          <w:tcPr>
            <w:tcW w:w="466" w:type="dxa"/>
            <w:vAlign w:val="center"/>
          </w:tcPr>
          <w:p>
            <w:pPr>
              <w:rPr>
                <w:rFonts w:ascii="仿宋_GB2312" w:hAnsi="宋体" w:eastAsia="仿宋_GB2312"/>
                <w:color w:val="000000"/>
                <w:sz w:val="18"/>
                <w:szCs w:val="18"/>
              </w:rPr>
            </w:pPr>
          </w:p>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1872"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3.《国务院办公厅关于转发人力资源社会保障部财政部城镇企业职工基本养老保险关系转移接续暂行办法的通知》（国办发﹝2009﹞66号）</w:t>
            </w:r>
          </w:p>
        </w:tc>
        <w:tc>
          <w:tcPr>
            <w:tcW w:w="11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1872" w:type="dxa"/>
            <w:vAlign w:val="center"/>
          </w:tcPr>
          <w:p>
            <w:pPr>
              <w:jc w:val="left"/>
              <w:rPr>
                <w:rFonts w:ascii="仿宋_GB2312" w:hAnsi="宋体" w:eastAsia="仿宋_GB2312"/>
                <w:color w:val="000000"/>
                <w:sz w:val="18"/>
                <w:szCs w:val="18"/>
              </w:rPr>
            </w:pPr>
          </w:p>
          <w:p>
            <w:pPr>
              <w:jc w:val="left"/>
              <w:rPr>
                <w:rFonts w:hint="eastAsia" w:ascii="仿宋_GB2312" w:hAnsi="宋体" w:eastAsia="仿宋_GB2312"/>
                <w:color w:val="000000"/>
                <w:sz w:val="18"/>
                <w:szCs w:val="18"/>
              </w:rPr>
            </w:pP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3.《人力资源社会保障部财政部关于机关事业单位基本养老保险关系和职业年金转移接续有关问题的通知》（人社部规﹝2017﹞1号）</w:t>
            </w:r>
          </w:p>
        </w:tc>
        <w:tc>
          <w:tcPr>
            <w:tcW w:w="11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Align w:val="center"/>
          </w:tcPr>
          <w:p>
            <w:pPr>
              <w:rPr>
                <w:rFonts w:hint="eastAsia"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Align w:val="center"/>
          </w:tcPr>
          <w:p>
            <w:pPr>
              <w:jc w:val="both"/>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both"/>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both"/>
              <w:rPr>
                <w:lang w:val="en-US" w:eastAsia="zh-CN"/>
              </w:rPr>
            </w:pPr>
            <w:r>
              <w:rPr>
                <w:rFonts w:hint="eastAsia" w:ascii="仿宋_GB2312" w:hAnsi="宋体" w:eastAsia="仿宋_GB2312"/>
                <w:color w:val="000000"/>
                <w:sz w:val="18"/>
                <w:szCs w:val="18"/>
              </w:rPr>
              <w:t>■基层公共服务平台</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7"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10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1872"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11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highlight w:val="red"/>
              </w:rPr>
            </w:pPr>
            <w:r>
              <w:rPr>
                <w:rFonts w:hint="eastAsia" w:ascii="仿宋_GB2312" w:hAnsi="宋体" w:eastAsia="仿宋_GB2312"/>
                <w:color w:val="000000"/>
                <w:sz w:val="18"/>
                <w:szCs w:val="18"/>
              </w:rPr>
              <w:t xml:space="preserve">■基层公共服务平台 </w:t>
            </w:r>
          </w:p>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8"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1872" w:type="dxa"/>
            <w:vMerge w:val="continue"/>
            <w:vAlign w:val="center"/>
          </w:tcPr>
          <w:p>
            <w:pPr>
              <w:jc w:val="left"/>
              <w:rPr>
                <w:rFonts w:ascii="仿宋_GB2312" w:hAnsi="宋体" w:eastAsia="仿宋_GB2312"/>
                <w:color w:val="000000"/>
                <w:sz w:val="18"/>
                <w:szCs w:val="18"/>
              </w:rPr>
            </w:pPr>
          </w:p>
        </w:tc>
        <w:tc>
          <w:tcPr>
            <w:tcW w:w="23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3.《人力资源社会保障部财政部关于机关事业单位基本养老保险关系和职业年金转移接续有关问题的通知》（人社部规﹝2017﹞1号）</w:t>
            </w:r>
          </w:p>
        </w:tc>
        <w:tc>
          <w:tcPr>
            <w:tcW w:w="11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2"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1872" w:type="dxa"/>
            <w:vMerge w:val="continue"/>
            <w:vAlign w:val="center"/>
          </w:tcPr>
          <w:p>
            <w:pPr>
              <w:jc w:val="left"/>
              <w:rPr>
                <w:rFonts w:ascii="仿宋_GB2312" w:hAnsi="宋体" w:eastAsia="仿宋_GB2312"/>
                <w:color w:val="000000"/>
                <w:sz w:val="18"/>
                <w:szCs w:val="18"/>
              </w:rPr>
            </w:pPr>
          </w:p>
        </w:tc>
        <w:tc>
          <w:tcPr>
            <w:tcW w:w="23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3.《人力资源社会保障部财政部关于印发＜城乡养老保险制度衔接暂行办法＞的通知》（人社部发﹝2014﹞17号）</w:t>
            </w:r>
          </w:p>
        </w:tc>
        <w:tc>
          <w:tcPr>
            <w:tcW w:w="11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8"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10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1872"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3.《人力资源社会保障部财政部总参谋部总政治部总后勤部关于军人退役基本养老保险关系转移接续有关问题的通知》（后财﹝2015﹞1726号）</w:t>
            </w:r>
          </w:p>
        </w:tc>
        <w:tc>
          <w:tcPr>
            <w:tcW w:w="11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8"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1872"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3.《人力资源和社会保障部＜关于贯彻落实国务院办公厅转发城镇企业职工基本养老保险关系转移接续暂行办法的通知》（人社部发﹝2009﹞187号）</w:t>
            </w:r>
          </w:p>
        </w:tc>
        <w:tc>
          <w:tcPr>
            <w:tcW w:w="11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sz w:val="18"/>
                <w:szCs w:val="18"/>
              </w:rPr>
            </w:pPr>
            <w:r>
              <w:rPr>
                <w:rFonts w:ascii="仿宋_GB2312" w:hAnsi="宋体" w:eastAsia="仿宋_GB2312"/>
                <w:sz w:val="18"/>
                <w:szCs w:val="18"/>
              </w:rPr>
              <w:t>33</w:t>
            </w:r>
          </w:p>
        </w:tc>
        <w:tc>
          <w:tcPr>
            <w:tcW w:w="1073" w:type="dxa"/>
            <w:vAlign w:val="center"/>
          </w:tcPr>
          <w:p>
            <w:pPr>
              <w:jc w:val="center"/>
              <w:rPr>
                <w:rFonts w:ascii="仿宋_GB2312" w:hAnsi="宋体" w:eastAsia="仿宋_GB2312"/>
                <w:sz w:val="18"/>
                <w:szCs w:val="18"/>
              </w:rPr>
            </w:pPr>
            <w:r>
              <w:rPr>
                <w:rFonts w:hint="eastAsia" w:ascii="仿宋_GB2312" w:hAnsi="宋体" w:eastAsia="仿宋_GB2312"/>
                <w:sz w:val="18"/>
                <w:szCs w:val="18"/>
              </w:rPr>
              <w:t>工伤保险服务</w:t>
            </w:r>
          </w:p>
        </w:tc>
        <w:tc>
          <w:tcPr>
            <w:tcW w:w="1106" w:type="dxa"/>
            <w:vAlign w:val="center"/>
          </w:tcPr>
          <w:p>
            <w:pPr>
              <w:rPr>
                <w:rFonts w:ascii="仿宋_GB2312" w:hAnsi="宋体" w:eastAsia="仿宋_GB2312"/>
                <w:sz w:val="18"/>
                <w:szCs w:val="18"/>
              </w:rPr>
            </w:pPr>
            <w:r>
              <w:rPr>
                <w:rFonts w:hint="eastAsia" w:ascii="仿宋_GB2312" w:hAnsi="宋体" w:eastAsia="仿宋_GB2312"/>
                <w:sz w:val="18"/>
                <w:szCs w:val="18"/>
              </w:rPr>
              <w:t>工伤事故备案</w:t>
            </w:r>
          </w:p>
        </w:tc>
        <w:tc>
          <w:tcPr>
            <w:tcW w:w="1872" w:type="dxa"/>
            <w:vAlign w:val="center"/>
          </w:tcPr>
          <w:p>
            <w:pPr>
              <w:jc w:val="left"/>
              <w:rPr>
                <w:rFonts w:ascii="仿宋_GB2312" w:hAnsi="宋体" w:eastAsia="仿宋_GB2312"/>
                <w:sz w:val="18"/>
                <w:szCs w:val="18"/>
              </w:rPr>
            </w:pPr>
            <w:r>
              <w:rPr>
                <w:rFonts w:hint="eastAsia" w:ascii="仿宋_GB2312" w:hAnsi="宋体" w:eastAsia="仿宋_GB2312"/>
                <w:sz w:val="18"/>
                <w:szCs w:val="18"/>
              </w:rPr>
              <w:t>事项名称、事项简述、办理材料、办理方式、办理时限、结果送达、收费依据及标准、办事时间、办理机构及地点、咨询查询途径、监督投诉渠道</w:t>
            </w:r>
          </w:p>
        </w:tc>
        <w:tc>
          <w:tcPr>
            <w:tcW w:w="2321" w:type="dxa"/>
            <w:vAlign w:val="center"/>
          </w:tcPr>
          <w:p>
            <w:pPr>
              <w:rPr>
                <w:rFonts w:ascii="仿宋_GB2312" w:hAnsi="宋体" w:eastAsia="仿宋_GB2312"/>
                <w:sz w:val="18"/>
                <w:szCs w:val="18"/>
              </w:rPr>
            </w:pPr>
            <w:r>
              <w:rPr>
                <w:rFonts w:hint="eastAsia" w:ascii="仿宋_GB2312" w:hAnsi="宋体" w:eastAsia="仿宋_GB2312"/>
                <w:sz w:val="18"/>
                <w:szCs w:val="18"/>
              </w:rPr>
              <w:t>1.《中华人民共和国政府信息公开条例》（中华人民共和国国务院令第711号）</w:t>
            </w:r>
          </w:p>
          <w:p>
            <w:pPr>
              <w:rPr>
                <w:rFonts w:ascii="仿宋_GB2312" w:hAnsi="宋体" w:eastAsia="仿宋_GB2312"/>
                <w:sz w:val="18"/>
                <w:szCs w:val="18"/>
              </w:rPr>
            </w:pPr>
            <w:r>
              <w:rPr>
                <w:rFonts w:hint="eastAsia" w:ascii="仿宋_GB2312" w:hAnsi="宋体" w:eastAsia="仿宋_GB2312"/>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sz w:val="18"/>
                <w:szCs w:val="18"/>
              </w:rPr>
            </w:pPr>
            <w:r>
              <w:rPr>
                <w:rFonts w:hint="eastAsia" w:ascii="仿宋_GB2312" w:hAnsi="宋体" w:eastAsia="仿宋_GB2312"/>
                <w:sz w:val="18"/>
                <w:szCs w:val="18"/>
              </w:rPr>
              <w:t>3.《工伤保险条例》（中华人民共和国国务院令第586号）</w:t>
            </w:r>
          </w:p>
        </w:tc>
        <w:tc>
          <w:tcPr>
            <w:tcW w:w="1113" w:type="dxa"/>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tc>
        <w:tc>
          <w:tcPr>
            <w:tcW w:w="896"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融安县</w:t>
            </w:r>
            <w:r>
              <w:rPr>
                <w:rFonts w:hint="eastAsia" w:ascii="仿宋_GB2312" w:hAnsi="宋体" w:eastAsia="仿宋_GB2312"/>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Align w:val="center"/>
          </w:tcPr>
          <w:p>
            <w:pPr>
              <w:jc w:val="left"/>
              <w:rPr>
                <w:rFonts w:ascii="仿宋_GB2312" w:hAnsi="宋体" w:eastAsia="仿宋_GB2312"/>
                <w:sz w:val="18"/>
                <w:szCs w:val="18"/>
              </w:rPr>
            </w:pPr>
            <w:r>
              <w:rPr>
                <w:rFonts w:hint="eastAsia" w:ascii="仿宋_GB2312" w:hAnsi="宋体" w:eastAsia="仿宋_GB2312"/>
                <w:sz w:val="18"/>
                <w:szCs w:val="18"/>
              </w:rPr>
              <w:t xml:space="preserve">  </w:t>
            </w:r>
          </w:p>
          <w:p>
            <w:pPr>
              <w:jc w:val="left"/>
              <w:rPr>
                <w:rFonts w:ascii="仿宋_GB2312" w:hAnsi="宋体" w:eastAsia="仿宋_GB2312"/>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sz w:val="18"/>
                <w:szCs w:val="18"/>
              </w:rPr>
            </w:pPr>
            <w:r>
              <w:rPr>
                <w:rFonts w:hint="eastAsia" w:ascii="仿宋_GB2312" w:hAnsi="宋体" w:eastAsia="仿宋_GB2312"/>
                <w:sz w:val="18"/>
                <w:szCs w:val="18"/>
              </w:rPr>
              <w:t>■政务服务中心</w:t>
            </w:r>
          </w:p>
          <w:p>
            <w:pPr>
              <w:jc w:val="left"/>
              <w:rPr>
                <w:rFonts w:ascii="仿宋_GB2312" w:hAnsi="宋体" w:eastAsia="仿宋_GB2312"/>
                <w:sz w:val="18"/>
                <w:szCs w:val="18"/>
              </w:rPr>
            </w:pPr>
            <w:r>
              <w:rPr>
                <w:rFonts w:hint="eastAsia" w:ascii="仿宋_GB2312" w:hAnsi="宋体" w:eastAsia="仿宋_GB2312"/>
                <w:color w:val="000000"/>
                <w:sz w:val="18"/>
                <w:szCs w:val="18"/>
              </w:rPr>
              <w:t>■基层公共服务平台</w:t>
            </w:r>
            <w:r>
              <w:rPr>
                <w:rFonts w:hint="eastAsia" w:ascii="仿宋_GB2312" w:hAnsi="宋体" w:eastAsia="仿宋_GB2312"/>
                <w:sz w:val="18"/>
                <w:szCs w:val="18"/>
              </w:rPr>
              <w:br w:type="textWrapping"/>
            </w:r>
          </w:p>
        </w:tc>
        <w:tc>
          <w:tcPr>
            <w:tcW w:w="626"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626"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4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626"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626"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656" w:type="dxa"/>
            <w:vAlign w:val="center"/>
          </w:tcPr>
          <w:p>
            <w:pPr>
              <w:jc w:val="center"/>
              <w:rPr>
                <w:rFonts w:ascii="仿宋_GB2312" w:hAnsi="宋体" w:eastAsia="仿宋_GB2312"/>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10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1872"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3.《工伤保险条例》（中华人民共和国国务院令第586号）</w:t>
            </w:r>
          </w:p>
        </w:tc>
        <w:tc>
          <w:tcPr>
            <w:tcW w:w="111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r>
              <w:rPr>
                <w:rFonts w:ascii="仿宋_GB2312" w:hAnsi="宋体" w:eastAsia="仿宋_GB2312"/>
                <w:color w:val="000000"/>
                <w:sz w:val="18"/>
                <w:szCs w:val="18"/>
              </w:rPr>
              <w:br w:type="textWrapping"/>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10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1872"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3.《工伤保险条例》（中华人民共和国国务院令第586号）</w:t>
            </w:r>
          </w:p>
        </w:tc>
        <w:tc>
          <w:tcPr>
            <w:tcW w:w="111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r>
              <w:rPr>
                <w:rFonts w:hint="eastAsia" w:ascii="仿宋_GB2312" w:hAnsi="宋体" w:eastAsia="仿宋_GB2312"/>
                <w:color w:val="000000"/>
                <w:sz w:val="18"/>
                <w:szCs w:val="18"/>
              </w:rPr>
              <w:br w:type="textWrapping"/>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10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1872"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3.《工伤保险条例》（中华人民共和国国务院令第586号）</w:t>
            </w:r>
          </w:p>
        </w:tc>
        <w:tc>
          <w:tcPr>
            <w:tcW w:w="111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r>
              <w:rPr>
                <w:rFonts w:hint="eastAsia" w:ascii="仿宋_GB2312" w:hAnsi="宋体" w:eastAsia="仿宋_GB2312"/>
                <w:color w:val="000000"/>
                <w:sz w:val="18"/>
                <w:szCs w:val="18"/>
              </w:rPr>
              <w:br w:type="textWrapping"/>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10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1872"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3.《工伤保险条例》（中华人民共和国国务院令第586号）</w:t>
            </w:r>
          </w:p>
        </w:tc>
        <w:tc>
          <w:tcPr>
            <w:tcW w:w="111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r>
              <w:rPr>
                <w:rFonts w:hint="eastAsia" w:ascii="仿宋_GB2312" w:hAnsi="宋体" w:eastAsia="仿宋_GB2312"/>
                <w:color w:val="000000"/>
                <w:sz w:val="18"/>
                <w:szCs w:val="18"/>
              </w:rPr>
              <w:br w:type="textWrapping"/>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10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1872"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3.《失业保险条例》（中华人民共和国国务院令第258号）</w:t>
            </w:r>
          </w:p>
        </w:tc>
        <w:tc>
          <w:tcPr>
            <w:tcW w:w="111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61</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10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1872"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3.《失业保险条例》（中华人民共和国国务院令第258号）</w:t>
            </w:r>
          </w:p>
          <w:p>
            <w:pPr>
              <w:rPr>
                <w:rFonts w:hint="default" w:eastAsia="仿宋_GB2312"/>
                <w:lang w:val="en-US" w:eastAsia="zh-CN"/>
              </w:rPr>
            </w:pPr>
            <w:r>
              <w:rPr>
                <w:rFonts w:hint="eastAsia" w:ascii="仿宋_GB2312" w:hAnsi="宋体" w:eastAsia="仿宋_GB2312" w:cs="Times New Roman"/>
                <w:b w:val="0"/>
                <w:color w:val="000000"/>
                <w:kern w:val="2"/>
                <w:sz w:val="18"/>
                <w:szCs w:val="18"/>
                <w:highlight w:val="none"/>
                <w:lang w:val="en-US" w:eastAsia="zh-CN" w:bidi="ar-SA"/>
              </w:rPr>
              <w:t>4.</w:t>
            </w:r>
            <w:r>
              <w:rPr>
                <w:rFonts w:hint="eastAsia" w:ascii="仿宋_GB2312" w:eastAsia="仿宋_GB2312" w:cs="Times New Roman"/>
                <w:b w:val="0"/>
                <w:color w:val="000000"/>
                <w:kern w:val="2"/>
                <w:sz w:val="18"/>
                <w:szCs w:val="18"/>
                <w:highlight w:val="none"/>
                <w:lang w:val="en-US" w:eastAsia="zh-CN" w:bidi="ar-SA"/>
              </w:rPr>
              <w:t>《</w:t>
            </w:r>
            <w:r>
              <w:rPr>
                <w:rFonts w:hint="eastAsia" w:ascii="仿宋_GB2312" w:hAnsi="宋体" w:eastAsia="仿宋_GB2312" w:cs="Times New Roman"/>
                <w:b w:val="0"/>
                <w:color w:val="000000"/>
                <w:kern w:val="2"/>
                <w:sz w:val="18"/>
                <w:szCs w:val="18"/>
                <w:highlight w:val="none"/>
                <w:lang w:val="en-US" w:eastAsia="zh-CN" w:bidi="ar-SA"/>
              </w:rPr>
              <w:t>广西壮族自治区人力资源和社会保障厅等13部门关于印发进一步稳定和扩大就业若干政策的通知</w:t>
            </w:r>
            <w:r>
              <w:rPr>
                <w:rFonts w:hint="eastAsia" w:ascii="仿宋_GB2312" w:eastAsia="仿宋_GB2312" w:cs="Times New Roman"/>
                <w:b w:val="0"/>
                <w:color w:val="000000"/>
                <w:kern w:val="2"/>
                <w:sz w:val="18"/>
                <w:szCs w:val="18"/>
                <w:highlight w:val="none"/>
                <w:lang w:val="en-US" w:eastAsia="zh-CN" w:bidi="ar-SA"/>
              </w:rPr>
              <w:t>》</w:t>
            </w:r>
            <w:r>
              <w:rPr>
                <w:rFonts w:hint="eastAsia" w:ascii="仿宋_GB2312" w:hAnsi="宋体" w:eastAsia="仿宋_GB2312" w:cs="Times New Roman"/>
                <w:b w:val="0"/>
                <w:color w:val="000000"/>
                <w:kern w:val="2"/>
                <w:sz w:val="18"/>
                <w:szCs w:val="18"/>
                <w:highlight w:val="none"/>
                <w:lang w:val="en-US" w:eastAsia="zh-CN" w:bidi="ar-SA"/>
              </w:rPr>
              <w:t>（桂人社发〔2025〕38号）</w:t>
            </w:r>
          </w:p>
        </w:tc>
        <w:tc>
          <w:tcPr>
            <w:tcW w:w="111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bookmarkStart w:id="0" w:name="_GoBack"/>
            <w:bookmarkEnd w:id="0"/>
          </w:p>
        </w:tc>
        <w:tc>
          <w:tcPr>
            <w:tcW w:w="1474" w:type="dxa"/>
            <w:vMerge w:val="restart"/>
            <w:vAlign w:val="center"/>
          </w:tcPr>
          <w:p>
            <w:pPr>
              <w:jc w:val="left"/>
              <w:rPr>
                <w:rFonts w:ascii="仿宋_GB2312" w:hAnsi="宋体" w:eastAsia="仿宋_GB2312"/>
                <w:color w:val="000000"/>
                <w:sz w:val="18"/>
                <w:szCs w:val="18"/>
              </w:rPr>
            </w:pPr>
          </w:p>
          <w:p>
            <w:pPr>
              <w:jc w:val="left"/>
              <w:rPr>
                <w:rFonts w:ascii="仿宋_GB2312" w:hAnsi="宋体" w:eastAsia="仿宋_GB2312"/>
                <w:color w:val="000000"/>
                <w:sz w:val="18"/>
                <w:szCs w:val="18"/>
              </w:rPr>
            </w:pPr>
          </w:p>
          <w:p>
            <w:pPr>
              <w:jc w:val="left"/>
              <w:rPr>
                <w:rFonts w:ascii="仿宋_GB2312" w:hAnsi="宋体" w:eastAsia="仿宋_GB2312"/>
                <w:color w:val="000000"/>
                <w:sz w:val="18"/>
                <w:szCs w:val="18"/>
              </w:rPr>
            </w:pP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r>
              <w:rPr>
                <w:rFonts w:hint="eastAsia" w:ascii="仿宋_GB2312" w:hAnsi="宋体" w:eastAsia="仿宋_GB2312"/>
                <w:color w:val="000000"/>
                <w:sz w:val="18"/>
                <w:szCs w:val="18"/>
              </w:rPr>
              <w:br w:type="textWrapping"/>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shd w:val="clear" w:color="auto" w:fill="auto"/>
            <w:vAlign w:val="center"/>
          </w:tcPr>
          <w:p>
            <w:pPr>
              <w:jc w:val="center"/>
              <w:rPr>
                <w:rFonts w:ascii="仿宋_GB2312" w:hAnsi="宋体" w:eastAsia="仿宋_GB2312" w:cs="Times New Roman"/>
                <w:color w:val="000000"/>
                <w:kern w:val="2"/>
                <w:sz w:val="18"/>
                <w:szCs w:val="18"/>
                <w:lang w:val="en-US" w:eastAsia="zh-CN" w:bidi="ar-SA"/>
              </w:rPr>
            </w:pPr>
            <w:r>
              <w:rPr>
                <w:rFonts w:ascii="仿宋_GB2312" w:hAnsi="宋体" w:eastAsia="仿宋_GB2312"/>
                <w:color w:val="000000"/>
                <w:sz w:val="18"/>
                <w:szCs w:val="18"/>
              </w:rPr>
              <w:t>66</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hint="eastAsia" w:ascii="仿宋_GB2312" w:hAnsi="宋体" w:eastAsia="仿宋_GB2312"/>
                <w:color w:val="000000"/>
                <w:sz w:val="18"/>
                <w:szCs w:val="18"/>
              </w:rPr>
            </w:pPr>
          </w:p>
        </w:tc>
        <w:tc>
          <w:tcPr>
            <w:tcW w:w="626" w:type="dxa"/>
            <w:vAlign w:val="center"/>
          </w:tcPr>
          <w:p>
            <w:pPr>
              <w:jc w:val="center"/>
              <w:rPr>
                <w:rFonts w:hint="eastAsia" w:ascii="仿宋_GB2312" w:hAnsi="宋体" w:eastAsia="仿宋_GB2312"/>
                <w:color w:val="000000"/>
                <w:sz w:val="18"/>
                <w:szCs w:val="18"/>
              </w:rPr>
            </w:pPr>
          </w:p>
        </w:tc>
        <w:tc>
          <w:tcPr>
            <w:tcW w:w="467" w:type="dxa"/>
            <w:vAlign w:val="center"/>
          </w:tcPr>
          <w:p>
            <w:pPr>
              <w:jc w:val="center"/>
              <w:rPr>
                <w:rFonts w:hint="eastAsia" w:ascii="仿宋_GB2312" w:hAnsi="宋体" w:eastAsia="仿宋_GB2312"/>
                <w:color w:val="000000"/>
                <w:sz w:val="18"/>
                <w:szCs w:val="18"/>
              </w:rPr>
            </w:pPr>
          </w:p>
        </w:tc>
        <w:tc>
          <w:tcPr>
            <w:tcW w:w="626" w:type="dxa"/>
            <w:vAlign w:val="center"/>
          </w:tcPr>
          <w:p>
            <w:pPr>
              <w:jc w:val="center"/>
              <w:rPr>
                <w:rFonts w:hint="eastAsia" w:ascii="仿宋_GB2312" w:hAnsi="宋体" w:eastAsia="仿宋_GB2312"/>
                <w:color w:val="000000"/>
                <w:sz w:val="18"/>
                <w:szCs w:val="18"/>
              </w:rPr>
            </w:pPr>
          </w:p>
        </w:tc>
        <w:tc>
          <w:tcPr>
            <w:tcW w:w="626" w:type="dxa"/>
            <w:vAlign w:val="center"/>
          </w:tcPr>
          <w:p>
            <w:pPr>
              <w:jc w:val="center"/>
              <w:rPr>
                <w:rFonts w:hint="eastAsia" w:ascii="仿宋_GB2312" w:hAnsi="宋体" w:eastAsia="仿宋_GB2312"/>
                <w:color w:val="000000"/>
                <w:sz w:val="18"/>
                <w:szCs w:val="18"/>
              </w:rPr>
            </w:pPr>
          </w:p>
        </w:tc>
        <w:tc>
          <w:tcPr>
            <w:tcW w:w="656" w:type="dxa"/>
            <w:vAlign w:val="center"/>
          </w:tcPr>
          <w:p>
            <w:pP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hint="default" w:ascii="仿宋_GB2312" w:hAnsi="宋体" w:eastAsia="仿宋_GB2312"/>
                <w:color w:val="000000"/>
                <w:sz w:val="18"/>
                <w:szCs w:val="18"/>
                <w:highlight w:val="yellow"/>
                <w:lang w:val="en-US" w:eastAsia="zh-CN"/>
              </w:rPr>
            </w:pPr>
            <w:r>
              <w:rPr>
                <w:rFonts w:hint="eastAsia" w:ascii="仿宋_GB2312" w:hAnsi="宋体" w:eastAsia="仿宋_GB2312"/>
                <w:color w:val="000000"/>
                <w:sz w:val="18"/>
                <w:szCs w:val="18"/>
                <w:highlight w:val="none"/>
                <w:lang w:val="en-US" w:eastAsia="zh-CN"/>
              </w:rPr>
              <w:t>67</w:t>
            </w:r>
          </w:p>
        </w:tc>
        <w:tc>
          <w:tcPr>
            <w:tcW w:w="1073" w:type="dxa"/>
            <w:vMerge w:val="continue"/>
            <w:vAlign w:val="center"/>
          </w:tcPr>
          <w:p>
            <w:pPr>
              <w:rPr>
                <w:rFonts w:ascii="仿宋_GB2312" w:hAnsi="宋体" w:eastAsia="仿宋_GB2312"/>
                <w:color w:val="000000"/>
                <w:sz w:val="18"/>
                <w:szCs w:val="18"/>
                <w:highlight w:val="yellow"/>
              </w:rPr>
            </w:pPr>
          </w:p>
        </w:tc>
        <w:tc>
          <w:tcPr>
            <w:tcW w:w="1106" w:type="dxa"/>
            <w:vAlign w:val="center"/>
          </w:tcPr>
          <w:p>
            <w:pPr>
              <w:rPr>
                <w:rFonts w:hint="eastAsia" w:ascii="仿宋_GB2312" w:hAnsi="宋体" w:eastAsia="仿宋_GB2312"/>
                <w:color w:val="000000"/>
                <w:sz w:val="18"/>
                <w:szCs w:val="18"/>
                <w:highlight w:val="none"/>
                <w:lang w:eastAsia="zh-CN"/>
              </w:rPr>
            </w:pPr>
            <w:r>
              <w:rPr>
                <w:rFonts w:hint="eastAsia" w:ascii="仿宋_GB2312" w:hAnsi="宋体" w:eastAsia="仿宋_GB2312"/>
                <w:color w:val="000000"/>
                <w:sz w:val="18"/>
                <w:szCs w:val="18"/>
                <w:highlight w:val="none"/>
                <w:lang w:eastAsia="zh-CN"/>
              </w:rPr>
              <w:t>一次性扩岗补助申领</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jc w:val="left"/>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68</w:t>
            </w:r>
          </w:p>
        </w:tc>
        <w:tc>
          <w:tcPr>
            <w:tcW w:w="10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1872"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111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69</w:t>
            </w:r>
          </w:p>
        </w:tc>
        <w:tc>
          <w:tcPr>
            <w:tcW w:w="1073" w:type="dxa"/>
            <w:vMerge w:val="continue"/>
            <w:vAlign w:val="center"/>
          </w:tcPr>
          <w:p>
            <w:pPr>
              <w:jc w:val="cente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6" w:hRule="atLeast"/>
          <w:jc w:val="center"/>
        </w:trPr>
        <w:tc>
          <w:tcPr>
            <w:tcW w:w="466"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70</w:t>
            </w:r>
          </w:p>
        </w:tc>
        <w:tc>
          <w:tcPr>
            <w:tcW w:w="1073" w:type="dxa"/>
            <w:vMerge w:val="continue"/>
            <w:vAlign w:val="center"/>
          </w:tcPr>
          <w:p>
            <w:pPr>
              <w:jc w:val="cente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1872" w:type="dxa"/>
            <w:vMerge w:val="continue"/>
            <w:vAlign w:val="center"/>
          </w:tcPr>
          <w:p>
            <w:pPr>
              <w:jc w:val="left"/>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466"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71</w:t>
            </w:r>
          </w:p>
        </w:tc>
        <w:tc>
          <w:tcPr>
            <w:tcW w:w="107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1872"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32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p>
          <w:p>
            <w:pPr>
              <w:rPr>
                <w:rFonts w:ascii="仿宋_GB2312" w:hAnsi="宋体" w:eastAsia="仿宋_GB2312"/>
                <w:color w:val="000000"/>
                <w:sz w:val="18"/>
                <w:szCs w:val="18"/>
              </w:rPr>
            </w:pP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rPr>
                <w:rFonts w:ascii="仿宋_GB2312" w:hAnsi="宋体" w:eastAsia="仿宋_GB2312"/>
                <w:color w:val="000000"/>
                <w:sz w:val="18"/>
                <w:szCs w:val="18"/>
              </w:rPr>
            </w:pP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1113"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8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融安县</w:t>
            </w:r>
            <w:r>
              <w:rPr>
                <w:rFonts w:hint="eastAsia" w:ascii="仿宋_GB2312" w:hAnsi="宋体" w:eastAsia="仿宋_GB2312"/>
                <w:color w:val="000000"/>
                <w:sz w:val="18"/>
                <w:szCs w:val="18"/>
              </w:rPr>
              <w:t>人力资源和社会保障局</w:t>
            </w:r>
            <w:r>
              <w:rPr>
                <w:rFonts w:hint="eastAsia" w:ascii="仿宋_GB2312" w:hAnsi="宋体" w:eastAsia="仿宋_GB2312"/>
                <w:color w:val="000000"/>
                <w:sz w:val="18"/>
                <w:szCs w:val="18"/>
                <w:lang w:eastAsia="zh-CN"/>
              </w:rPr>
              <w:t>、各乡镇人民政府</w:t>
            </w:r>
          </w:p>
        </w:tc>
        <w:tc>
          <w:tcPr>
            <w:tcW w:w="147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■基层公共服务平台</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72</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1872" w:type="dxa"/>
            <w:vMerge w:val="continue"/>
            <w:vAlign w:val="center"/>
          </w:tcPr>
          <w:p>
            <w:pPr>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hint="eastAsia" w:ascii="仿宋_GB2312" w:hAnsi="宋体" w:eastAsia="仿宋_GB2312"/>
                <w:color w:val="000000"/>
                <w:sz w:val="18"/>
                <w:szCs w:val="18"/>
                <w:lang w:val="en-US" w:eastAsia="zh-CN"/>
              </w:rPr>
            </w:pPr>
            <w:r>
              <w:rPr>
                <w:rFonts w:ascii="仿宋_GB2312" w:hAnsi="宋体" w:eastAsia="仿宋_GB2312"/>
                <w:color w:val="000000"/>
                <w:sz w:val="18"/>
                <w:szCs w:val="18"/>
              </w:rPr>
              <w:t>7</w:t>
            </w:r>
            <w:r>
              <w:rPr>
                <w:rFonts w:hint="eastAsia" w:ascii="仿宋_GB2312" w:hAnsi="宋体" w:eastAsia="仿宋_GB2312"/>
                <w:color w:val="000000"/>
                <w:sz w:val="18"/>
                <w:szCs w:val="18"/>
                <w:lang w:val="en-US" w:eastAsia="zh-CN"/>
              </w:rPr>
              <w:t>3</w:t>
            </w:r>
          </w:p>
        </w:tc>
        <w:tc>
          <w:tcPr>
            <w:tcW w:w="1073" w:type="dxa"/>
            <w:vMerge w:val="continue"/>
            <w:vAlign w:val="center"/>
          </w:tcPr>
          <w:p>
            <w:pPr>
              <w:jc w:val="cente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1872" w:type="dxa"/>
            <w:vMerge w:val="continue"/>
            <w:vAlign w:val="center"/>
          </w:tcPr>
          <w:p>
            <w:pPr>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hint="eastAsia" w:ascii="仿宋_GB2312" w:hAnsi="宋体" w:eastAsia="仿宋_GB2312"/>
                <w:color w:val="000000"/>
                <w:sz w:val="18"/>
                <w:szCs w:val="18"/>
                <w:lang w:val="en-US" w:eastAsia="zh-CN"/>
              </w:rPr>
            </w:pPr>
            <w:r>
              <w:rPr>
                <w:rFonts w:ascii="仿宋_GB2312" w:hAnsi="宋体" w:eastAsia="仿宋_GB2312"/>
                <w:color w:val="000000"/>
                <w:sz w:val="18"/>
                <w:szCs w:val="18"/>
              </w:rPr>
              <w:t>7</w:t>
            </w:r>
            <w:r>
              <w:rPr>
                <w:rFonts w:hint="eastAsia" w:ascii="仿宋_GB2312" w:hAnsi="宋体" w:eastAsia="仿宋_GB2312"/>
                <w:color w:val="000000"/>
                <w:sz w:val="18"/>
                <w:szCs w:val="18"/>
                <w:lang w:val="en-US" w:eastAsia="zh-CN"/>
              </w:rPr>
              <w:t>4</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1872" w:type="dxa"/>
            <w:vMerge w:val="continue"/>
            <w:vAlign w:val="center"/>
          </w:tcPr>
          <w:p>
            <w:pPr>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Align w:val="center"/>
          </w:tcPr>
          <w:p>
            <w:pPr>
              <w:jc w:val="center"/>
              <w:rPr>
                <w:rFonts w:hint="eastAsia" w:ascii="仿宋_GB2312" w:hAnsi="宋体" w:eastAsia="仿宋_GB2312"/>
                <w:color w:val="000000"/>
                <w:sz w:val="18"/>
                <w:szCs w:val="18"/>
                <w:lang w:val="en-US" w:eastAsia="zh-CN"/>
              </w:rPr>
            </w:pPr>
            <w:r>
              <w:rPr>
                <w:rFonts w:ascii="仿宋_GB2312" w:hAnsi="宋体" w:eastAsia="仿宋_GB2312"/>
                <w:color w:val="000000"/>
                <w:sz w:val="18"/>
                <w:szCs w:val="18"/>
              </w:rPr>
              <w:t>7</w:t>
            </w:r>
            <w:r>
              <w:rPr>
                <w:rFonts w:hint="eastAsia" w:ascii="仿宋_GB2312" w:hAnsi="宋体" w:eastAsia="仿宋_GB2312"/>
                <w:color w:val="000000"/>
                <w:sz w:val="18"/>
                <w:szCs w:val="18"/>
                <w:lang w:val="en-US" w:eastAsia="zh-CN"/>
              </w:rPr>
              <w:t>5</w:t>
            </w:r>
          </w:p>
        </w:tc>
        <w:tc>
          <w:tcPr>
            <w:tcW w:w="1073" w:type="dxa"/>
            <w:vMerge w:val="continue"/>
            <w:vAlign w:val="center"/>
          </w:tcPr>
          <w:p>
            <w:pPr>
              <w:rPr>
                <w:rFonts w:ascii="仿宋_GB2312" w:hAnsi="宋体" w:eastAsia="仿宋_GB2312"/>
                <w:color w:val="000000"/>
                <w:sz w:val="18"/>
                <w:szCs w:val="18"/>
              </w:rPr>
            </w:pPr>
          </w:p>
        </w:tc>
        <w:tc>
          <w:tcPr>
            <w:tcW w:w="11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1872" w:type="dxa"/>
            <w:vMerge w:val="continue"/>
            <w:vAlign w:val="center"/>
          </w:tcPr>
          <w:p>
            <w:pPr>
              <w:rPr>
                <w:rFonts w:ascii="仿宋_GB2312" w:hAnsi="宋体" w:eastAsia="仿宋_GB2312"/>
                <w:color w:val="000000"/>
                <w:sz w:val="18"/>
                <w:szCs w:val="18"/>
              </w:rPr>
            </w:pPr>
          </w:p>
        </w:tc>
        <w:tc>
          <w:tcPr>
            <w:tcW w:w="2321" w:type="dxa"/>
            <w:vMerge w:val="continue"/>
            <w:vAlign w:val="center"/>
          </w:tcPr>
          <w:p>
            <w:pPr>
              <w:rPr>
                <w:rFonts w:ascii="仿宋_GB2312" w:hAnsi="宋体" w:eastAsia="仿宋_GB2312"/>
                <w:color w:val="000000"/>
                <w:sz w:val="18"/>
                <w:szCs w:val="18"/>
              </w:rPr>
            </w:pPr>
          </w:p>
        </w:tc>
        <w:tc>
          <w:tcPr>
            <w:tcW w:w="1113" w:type="dxa"/>
            <w:vMerge w:val="continue"/>
            <w:vAlign w:val="center"/>
          </w:tcPr>
          <w:p>
            <w:pPr>
              <w:rPr>
                <w:rFonts w:ascii="仿宋_GB2312" w:hAnsi="宋体" w:eastAsia="仿宋_GB2312"/>
                <w:color w:val="000000"/>
                <w:sz w:val="18"/>
                <w:szCs w:val="18"/>
              </w:rPr>
            </w:pPr>
          </w:p>
        </w:tc>
        <w:tc>
          <w:tcPr>
            <w:tcW w:w="896" w:type="dxa"/>
            <w:vMerge w:val="continue"/>
            <w:vAlign w:val="center"/>
          </w:tcPr>
          <w:p>
            <w:pPr>
              <w:rPr>
                <w:rFonts w:ascii="仿宋_GB2312" w:hAnsi="宋体" w:eastAsia="仿宋_GB2312"/>
                <w:color w:val="000000"/>
                <w:sz w:val="18"/>
                <w:szCs w:val="18"/>
              </w:rPr>
            </w:pPr>
          </w:p>
        </w:tc>
        <w:tc>
          <w:tcPr>
            <w:tcW w:w="1474" w:type="dxa"/>
            <w:vMerge w:val="continue"/>
            <w:vAlign w:val="center"/>
          </w:tcPr>
          <w:p>
            <w:pPr>
              <w:rPr>
                <w:rFonts w:ascii="仿宋_GB2312" w:hAnsi="宋体" w:eastAsia="仿宋_GB2312"/>
                <w:color w:val="000000"/>
                <w:sz w:val="18"/>
                <w:szCs w:val="18"/>
              </w:rPr>
            </w:pP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62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Merge w:val="restart"/>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76</w:t>
            </w:r>
          </w:p>
        </w:tc>
        <w:tc>
          <w:tcPr>
            <w:tcW w:w="1073" w:type="dxa"/>
            <w:vMerge w:val="restart"/>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宋体" w:eastAsia="仿宋_GB2312"/>
                <w:color w:val="000000"/>
                <w:sz w:val="18"/>
                <w:szCs w:val="18"/>
              </w:rPr>
              <w:t>社会保险经办机构及医疗机构、药品经营单位等社会保险服务机构以欺诈、伪造证明材料或其他手段骗取医疗保障基金支出的处罚</w:t>
            </w:r>
          </w:p>
        </w:tc>
        <w:tc>
          <w:tcPr>
            <w:tcW w:w="1106" w:type="dxa"/>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Cs w:val="21"/>
                <w:lang w:val="en-US" w:eastAsia="zh-CN"/>
              </w:rPr>
              <w:t>政策法规文件</w:t>
            </w:r>
          </w:p>
        </w:tc>
        <w:tc>
          <w:tcPr>
            <w:tcW w:w="187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《中华人民共和国社会保险法》（中华人民共和国主席令第35号，2010年10月28日公布，自2011年7月1日起施行）第八十七条  社会保险经办机构以及医疗机构、药品经营单位等社会保险服务机构以欺诈、伪造证明材料或者其他手段骗取社会保险基金支出的，由社会保险行政部门责令退回骗取的社会保险金，处骗取金额二倍以上五倍以下的罚款…</w:t>
            </w:r>
          </w:p>
        </w:tc>
        <w:tc>
          <w:tcPr>
            <w:tcW w:w="2321" w:type="dxa"/>
            <w:vAlign w:val="center"/>
          </w:tcPr>
          <w:p>
            <w:pPr>
              <w:widowControl/>
              <w:rPr>
                <w:rFonts w:ascii="仿宋_GB2312" w:hAnsi="仿宋_GB2312" w:eastAsia="仿宋_GB2312" w:cs="仿宋_GB2312"/>
                <w:color w:val="000000"/>
                <w:kern w:val="0"/>
                <w:sz w:val="21"/>
                <w:szCs w:val="21"/>
                <w:lang w:val="en-US" w:eastAsia="zh-CN" w:bidi="ar-SA"/>
              </w:rPr>
            </w:pPr>
            <w:r>
              <w:rPr>
                <w:rFonts w:hint="eastAsia" w:ascii="仿宋_GB2312" w:hAnsi="宋体" w:eastAsia="仿宋_GB2312"/>
                <w:color w:val="000000"/>
                <w:sz w:val="18"/>
                <w:szCs w:val="18"/>
              </w:rPr>
              <w:t>（2010年中华人民共和国主席令第35号）第八十二条 任何组织或者个人有权对违反社会保险法律、法规的行为进行举报、投诉</w:t>
            </w:r>
          </w:p>
        </w:tc>
        <w:tc>
          <w:tcPr>
            <w:tcW w:w="1113" w:type="dxa"/>
            <w:vAlign w:val="center"/>
          </w:tcPr>
          <w:p>
            <w:pPr>
              <w:widowControl/>
              <w:jc w:val="center"/>
              <w:rPr>
                <w:rFonts w:ascii="仿宋_GB2312" w:hAnsi="仿宋_GB2312" w:eastAsia="仿宋_GB2312" w:cs="仿宋_GB2312"/>
                <w:color w:val="000000"/>
                <w:kern w:val="0"/>
                <w:sz w:val="21"/>
                <w:szCs w:val="21"/>
                <w:lang w:val="en-US" w:eastAsia="zh-CN" w:bidi="ar-SA"/>
              </w:rPr>
            </w:pPr>
            <w:r>
              <w:rPr>
                <w:rFonts w:hint="eastAsia" w:ascii="仿宋_GB2312" w:hAnsi="宋体" w:eastAsia="仿宋_GB2312"/>
                <w:color w:val="000000"/>
                <w:sz w:val="18"/>
                <w:szCs w:val="18"/>
              </w:rPr>
              <w:t>制定或获取信息之日起10个 工作日内</w:t>
            </w:r>
          </w:p>
        </w:tc>
        <w:tc>
          <w:tcPr>
            <w:tcW w:w="896" w:type="dxa"/>
            <w:vAlign w:val="center"/>
          </w:tcPr>
          <w:p>
            <w:pPr>
              <w:widowControl/>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Cs w:val="21"/>
                <w:lang w:eastAsia="zh-CN"/>
              </w:rPr>
              <w:t>县医保局、乡（镇）人民政府</w:t>
            </w:r>
          </w:p>
        </w:tc>
        <w:tc>
          <w:tcPr>
            <w:tcW w:w="1474" w:type="dxa"/>
            <w:vAlign w:val="center"/>
          </w:tcPr>
          <w:p>
            <w:r>
              <w:rPr>
                <w:rFonts w:hint="eastAsia"/>
              </w:rPr>
              <w:t>■政府网站</w:t>
            </w:r>
          </w:p>
          <w:p>
            <w:pPr>
              <w:rPr>
                <w:rFonts w:hint="eastAsia"/>
                <w:lang w:eastAsia="zh-CN"/>
              </w:rPr>
            </w:pPr>
            <w:r>
              <w:rPr>
                <w:rFonts w:hint="eastAsia"/>
              </w:rPr>
              <w:t>■</w:t>
            </w:r>
            <w:r>
              <w:rPr>
                <w:rFonts w:hint="eastAsia"/>
                <w:lang w:eastAsia="zh-CN"/>
              </w:rPr>
              <w:t>公开查阅点</w:t>
            </w:r>
          </w:p>
          <w:p>
            <w:pPr>
              <w:rPr>
                <w:rFonts w:hint="eastAsia" w:eastAsia="仿宋_GB2312"/>
                <w:lang w:val="en-US"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政务服务中心</w:t>
            </w:r>
          </w:p>
        </w:tc>
        <w:tc>
          <w:tcPr>
            <w:tcW w:w="626" w:type="dxa"/>
            <w:vAlign w:val="center"/>
          </w:tcPr>
          <w:p>
            <w:pPr>
              <w:widowControl/>
              <w:jc w:val="left"/>
              <w:rPr>
                <w:rFonts w:ascii="仿宋_GB2312" w:hAnsi="仿宋_GB2312" w:eastAsia="仿宋_GB2312" w:cs="仿宋_GB2312"/>
                <w:szCs w:val="21"/>
              </w:rPr>
            </w:pPr>
            <w:r>
              <w:rPr>
                <w:rFonts w:hint="eastAsia" w:ascii="仿宋_GB2312" w:hAnsi="仿宋_GB2312" w:eastAsia="仿宋_GB2312" w:cs="仿宋_GB2312"/>
                <w:color w:val="000000"/>
                <w:kern w:val="0"/>
                <w:szCs w:val="21"/>
              </w:rPr>
              <w:t>√</w:t>
            </w:r>
          </w:p>
          <w:p>
            <w:pPr>
              <w:widowControl/>
              <w:jc w:val="center"/>
              <w:rPr>
                <w:rFonts w:hint="eastAsia" w:ascii="仿宋_GB2312" w:hAnsi="仿宋_GB2312" w:eastAsia="仿宋_GB2312" w:cs="仿宋_GB2312"/>
                <w:color w:val="000000"/>
                <w:kern w:val="0"/>
                <w:sz w:val="21"/>
                <w:szCs w:val="21"/>
                <w:lang w:val="en-US" w:eastAsia="zh-CN" w:bidi="ar-SA"/>
              </w:rPr>
            </w:pPr>
          </w:p>
        </w:tc>
        <w:tc>
          <w:tcPr>
            <w:tcW w:w="626" w:type="dxa"/>
            <w:vAlign w:val="center"/>
          </w:tcPr>
          <w:p>
            <w:pPr>
              <w:widowControl/>
              <w:jc w:val="center"/>
              <w:rPr>
                <w:rFonts w:hint="eastAsia" w:ascii="仿宋_GB2312" w:hAnsi="仿宋_GB2312" w:eastAsia="仿宋_GB2312" w:cs="仿宋_GB2312"/>
                <w:color w:val="000000"/>
                <w:kern w:val="0"/>
                <w:sz w:val="21"/>
                <w:szCs w:val="21"/>
                <w:lang w:val="en-US" w:eastAsia="zh-CN" w:bidi="ar-SA"/>
              </w:rPr>
            </w:pPr>
          </w:p>
        </w:tc>
        <w:tc>
          <w:tcPr>
            <w:tcW w:w="467" w:type="dxa"/>
            <w:vAlign w:val="center"/>
          </w:tcPr>
          <w:p>
            <w:pPr>
              <w:widowControl/>
              <w:jc w:val="left"/>
              <w:rPr>
                <w:rFonts w:ascii="仿宋_GB2312" w:hAnsi="仿宋_GB2312" w:eastAsia="仿宋_GB2312" w:cs="仿宋_GB2312"/>
                <w:szCs w:val="21"/>
              </w:rPr>
            </w:pPr>
            <w:r>
              <w:rPr>
                <w:rFonts w:hint="eastAsia" w:ascii="仿宋_GB2312" w:hAnsi="仿宋_GB2312" w:eastAsia="仿宋_GB2312" w:cs="仿宋_GB2312"/>
                <w:color w:val="000000"/>
                <w:kern w:val="0"/>
                <w:szCs w:val="21"/>
              </w:rPr>
              <w:t>√</w:t>
            </w:r>
          </w:p>
          <w:p>
            <w:pPr>
              <w:widowControl/>
              <w:jc w:val="center"/>
              <w:rPr>
                <w:rFonts w:hint="eastAsia" w:ascii="仿宋_GB2312" w:hAnsi="仿宋_GB2312" w:eastAsia="仿宋_GB2312" w:cs="仿宋_GB2312"/>
                <w:color w:val="000000"/>
                <w:kern w:val="0"/>
                <w:sz w:val="21"/>
                <w:szCs w:val="21"/>
                <w:lang w:val="en-US" w:eastAsia="zh-CN" w:bidi="ar-SA"/>
              </w:rPr>
            </w:pPr>
          </w:p>
        </w:tc>
        <w:tc>
          <w:tcPr>
            <w:tcW w:w="626" w:type="dxa"/>
            <w:vAlign w:val="center"/>
          </w:tcPr>
          <w:p>
            <w:pPr>
              <w:widowControl/>
              <w:jc w:val="center"/>
              <w:rPr>
                <w:rFonts w:hint="eastAsia" w:ascii="仿宋_GB2312" w:hAnsi="仿宋_GB2312" w:eastAsia="仿宋_GB2312" w:cs="仿宋_GB2312"/>
                <w:color w:val="000000"/>
                <w:kern w:val="0"/>
                <w:sz w:val="21"/>
                <w:szCs w:val="21"/>
                <w:lang w:val="en-US" w:eastAsia="zh-CN" w:bidi="ar-SA"/>
              </w:rPr>
            </w:pPr>
          </w:p>
        </w:tc>
        <w:tc>
          <w:tcPr>
            <w:tcW w:w="626" w:type="dxa"/>
            <w:vAlign w:val="center"/>
          </w:tcPr>
          <w:p>
            <w:pPr>
              <w:widowControl/>
              <w:jc w:val="left"/>
              <w:rPr>
                <w:rFonts w:ascii="仿宋_GB2312" w:hAnsi="仿宋_GB2312" w:eastAsia="仿宋_GB2312" w:cs="仿宋_GB2312"/>
                <w:szCs w:val="21"/>
              </w:rPr>
            </w:pPr>
            <w:r>
              <w:rPr>
                <w:rFonts w:hint="eastAsia" w:ascii="仿宋_GB2312" w:hAnsi="仿宋_GB2312" w:eastAsia="仿宋_GB2312" w:cs="仿宋_GB2312"/>
                <w:color w:val="000000"/>
                <w:kern w:val="0"/>
                <w:szCs w:val="21"/>
              </w:rPr>
              <w:t>√</w:t>
            </w:r>
          </w:p>
          <w:p>
            <w:pPr>
              <w:widowControl/>
              <w:jc w:val="center"/>
              <w:rPr>
                <w:rFonts w:hint="eastAsia" w:ascii="仿宋_GB2312" w:hAnsi="仿宋_GB2312" w:eastAsia="仿宋_GB2312" w:cs="仿宋_GB2312"/>
                <w:color w:val="000000"/>
                <w:kern w:val="0"/>
                <w:sz w:val="21"/>
                <w:szCs w:val="21"/>
                <w:lang w:val="en-US" w:eastAsia="zh-CN" w:bidi="ar-SA"/>
              </w:rPr>
            </w:pPr>
          </w:p>
        </w:tc>
        <w:tc>
          <w:tcPr>
            <w:tcW w:w="656" w:type="dxa"/>
            <w:vAlign w:val="center"/>
          </w:tcPr>
          <w:p>
            <w:pPr>
              <w:widowControl/>
              <w:jc w:val="left"/>
              <w:rPr>
                <w:rFonts w:ascii="仿宋_GB2312" w:hAnsi="仿宋_GB2312" w:eastAsia="仿宋_GB2312" w:cs="仿宋_GB2312"/>
                <w:szCs w:val="21"/>
              </w:rPr>
            </w:pPr>
            <w:r>
              <w:rPr>
                <w:rFonts w:hint="eastAsia" w:ascii="仿宋_GB2312" w:hAnsi="仿宋_GB2312" w:eastAsia="仿宋_GB2312" w:cs="仿宋_GB2312"/>
                <w:color w:val="000000"/>
                <w:kern w:val="0"/>
                <w:szCs w:val="21"/>
              </w:rPr>
              <w:t>√</w:t>
            </w:r>
          </w:p>
          <w:p>
            <w:pPr>
              <w:widowControl/>
              <w:jc w:val="both"/>
              <w:rPr>
                <w:rFonts w:hint="eastAsia" w:ascii="仿宋_GB2312" w:hAnsi="仿宋_GB2312" w:eastAsia="仿宋_GB2312" w:cs="仿宋_GB2312"/>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dxa"/>
            <w:vMerge w:val="continue"/>
          </w:tcPr>
          <w:p>
            <w:pPr>
              <w:jc w:val="center"/>
              <w:rPr>
                <w:rFonts w:ascii="仿宋_GB2312" w:hAnsi="宋体" w:eastAsia="仿宋_GB2312"/>
                <w:color w:val="000000"/>
                <w:sz w:val="18"/>
                <w:szCs w:val="18"/>
              </w:rPr>
            </w:pPr>
          </w:p>
        </w:tc>
        <w:tc>
          <w:tcPr>
            <w:tcW w:w="1073" w:type="dxa"/>
            <w:vMerge w:val="continue"/>
          </w:tcPr>
          <w:p>
            <w:pPr>
              <w:rPr>
                <w:rFonts w:ascii="仿宋_GB2312" w:hAnsi="宋体" w:eastAsia="仿宋_GB2312"/>
                <w:color w:val="000000"/>
                <w:sz w:val="18"/>
                <w:szCs w:val="18"/>
              </w:rPr>
            </w:pPr>
          </w:p>
        </w:tc>
        <w:tc>
          <w:tcPr>
            <w:tcW w:w="1106" w:type="dxa"/>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Cs w:val="21"/>
                <w:lang w:eastAsia="zh-CN"/>
              </w:rPr>
              <w:t>办事指南</w:t>
            </w:r>
          </w:p>
        </w:tc>
        <w:tc>
          <w:tcPr>
            <w:tcW w:w="1872" w:type="dxa"/>
            <w:vMerge w:val="continue"/>
          </w:tcPr>
          <w:p>
            <w:pPr>
              <w:rPr>
                <w:rFonts w:ascii="仿宋_GB2312" w:hAnsi="宋体" w:eastAsia="仿宋_GB2312"/>
                <w:color w:val="000000"/>
                <w:sz w:val="18"/>
                <w:szCs w:val="18"/>
              </w:rPr>
            </w:pPr>
          </w:p>
        </w:tc>
        <w:tc>
          <w:tcPr>
            <w:tcW w:w="2321" w:type="dxa"/>
            <w:vAlign w:val="center"/>
          </w:tcPr>
          <w:p>
            <w:pPr>
              <w:widowControl/>
              <w:jc w:val="left"/>
              <w:rPr>
                <w:rFonts w:ascii="仿宋_GB2312" w:hAnsi="仿宋_GB2312" w:eastAsia="仿宋_GB2312" w:cs="仿宋_GB2312"/>
                <w:color w:val="000000"/>
                <w:kern w:val="0"/>
                <w:sz w:val="21"/>
                <w:szCs w:val="21"/>
                <w:lang w:val="en-US" w:eastAsia="zh-CN" w:bidi="ar-SA"/>
              </w:rPr>
            </w:pPr>
            <w:r>
              <w:rPr>
                <w:rFonts w:hint="eastAsia" w:ascii="仿宋_GB2312" w:hAnsi="Times New Roman" w:eastAsia="仿宋_GB2312"/>
                <w:sz w:val="18"/>
                <w:szCs w:val="18"/>
              </w:rPr>
              <w:t>《中华人民共和国行政处罚法》（2009年8月27日主席令第18号）第五十五条</w:t>
            </w:r>
          </w:p>
        </w:tc>
        <w:tc>
          <w:tcPr>
            <w:tcW w:w="0" w:type="auto"/>
            <w:vAlign w:val="center"/>
          </w:tcPr>
          <w:p>
            <w:pPr>
              <w:widowControl/>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Cs w:val="21"/>
                <w:lang w:eastAsia="zh-CN"/>
              </w:rPr>
              <w:t>制定或获取信息之日起10个工作日内</w:t>
            </w:r>
          </w:p>
        </w:tc>
        <w:tc>
          <w:tcPr>
            <w:tcW w:w="0" w:type="auto"/>
            <w:vAlign w:val="center"/>
          </w:tcPr>
          <w:p>
            <w:pPr>
              <w:widowControl/>
              <w:jc w:val="left"/>
              <w:rPr>
                <w:rFonts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Cs w:val="21"/>
                <w:lang w:eastAsia="zh-CN"/>
              </w:rPr>
              <w:t>县医保局、乡（镇）人民政府</w:t>
            </w:r>
          </w:p>
        </w:tc>
        <w:tc>
          <w:tcPr>
            <w:tcW w:w="0" w:type="auto"/>
          </w:tcPr>
          <w:p>
            <w:r>
              <w:rPr>
                <w:rFonts w:hint="eastAsia"/>
              </w:rPr>
              <w:t>■政府网站</w:t>
            </w:r>
          </w:p>
          <w:p>
            <w:pPr>
              <w:rPr>
                <w:rFonts w:hint="eastAsia"/>
                <w:lang w:eastAsia="zh-CN"/>
              </w:rPr>
            </w:pPr>
            <w:r>
              <w:rPr>
                <w:rFonts w:hint="eastAsia"/>
              </w:rPr>
              <w:t>■</w:t>
            </w:r>
            <w:r>
              <w:rPr>
                <w:rFonts w:hint="eastAsia"/>
                <w:lang w:eastAsia="zh-CN"/>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政务服务中心</w:t>
            </w:r>
          </w:p>
        </w:tc>
        <w:tc>
          <w:tcPr>
            <w:tcW w:w="0" w:type="auto"/>
            <w:vAlign w:val="center"/>
          </w:tcPr>
          <w:p>
            <w:pPr>
              <w:widowControl/>
              <w:jc w:val="left"/>
              <w:rPr>
                <w:rFonts w:ascii="仿宋_GB2312" w:hAnsi="仿宋_GB2312" w:eastAsia="仿宋_GB2312" w:cs="仿宋_GB2312"/>
                <w:szCs w:val="21"/>
              </w:rPr>
            </w:pPr>
            <w:r>
              <w:rPr>
                <w:rFonts w:hint="eastAsia" w:ascii="仿宋_GB2312" w:hAnsi="仿宋_GB2312" w:eastAsia="仿宋_GB2312" w:cs="仿宋_GB2312"/>
                <w:color w:val="000000"/>
                <w:kern w:val="0"/>
                <w:szCs w:val="21"/>
              </w:rPr>
              <w:t>√</w:t>
            </w:r>
          </w:p>
          <w:p>
            <w:pPr>
              <w:widowControl/>
              <w:jc w:val="center"/>
              <w:rPr>
                <w:rFonts w:hint="eastAsia" w:ascii="仿宋_GB2312" w:hAnsi="仿宋_GB2312" w:eastAsia="仿宋_GB2312" w:cs="仿宋_GB2312"/>
                <w:color w:val="000000"/>
                <w:kern w:val="0"/>
                <w:sz w:val="21"/>
                <w:szCs w:val="21"/>
                <w:lang w:val="en-US" w:eastAsia="zh-CN" w:bidi="ar-SA"/>
              </w:rPr>
            </w:pPr>
          </w:p>
        </w:tc>
        <w:tc>
          <w:tcPr>
            <w:tcW w:w="0" w:type="auto"/>
            <w:vAlign w:val="center"/>
          </w:tcPr>
          <w:p>
            <w:pPr>
              <w:widowControl/>
              <w:jc w:val="center"/>
              <w:rPr>
                <w:rFonts w:hint="eastAsia" w:ascii="仿宋_GB2312" w:hAnsi="仿宋_GB2312" w:eastAsia="仿宋_GB2312" w:cs="仿宋_GB2312"/>
                <w:color w:val="000000"/>
                <w:kern w:val="0"/>
                <w:sz w:val="21"/>
                <w:szCs w:val="21"/>
                <w:lang w:val="en-US" w:eastAsia="zh-CN" w:bidi="ar-SA"/>
              </w:rPr>
            </w:pPr>
          </w:p>
        </w:tc>
        <w:tc>
          <w:tcPr>
            <w:tcW w:w="0" w:type="auto"/>
            <w:vAlign w:val="center"/>
          </w:tcPr>
          <w:p>
            <w:pPr>
              <w:widowControl/>
              <w:jc w:val="left"/>
              <w:rPr>
                <w:rFonts w:ascii="仿宋_GB2312" w:hAnsi="仿宋_GB2312" w:eastAsia="仿宋_GB2312" w:cs="仿宋_GB2312"/>
                <w:szCs w:val="21"/>
              </w:rPr>
            </w:pPr>
            <w:r>
              <w:rPr>
                <w:rFonts w:hint="eastAsia" w:ascii="仿宋_GB2312" w:hAnsi="仿宋_GB2312" w:eastAsia="仿宋_GB2312" w:cs="仿宋_GB2312"/>
                <w:color w:val="000000"/>
                <w:kern w:val="0"/>
                <w:szCs w:val="21"/>
              </w:rPr>
              <w:t>√</w:t>
            </w:r>
          </w:p>
          <w:p>
            <w:pPr>
              <w:widowControl/>
              <w:jc w:val="center"/>
              <w:rPr>
                <w:rFonts w:hint="eastAsia" w:ascii="仿宋_GB2312" w:hAnsi="仿宋_GB2312" w:eastAsia="仿宋_GB2312" w:cs="仿宋_GB2312"/>
                <w:color w:val="000000"/>
                <w:kern w:val="0"/>
                <w:sz w:val="21"/>
                <w:szCs w:val="21"/>
                <w:lang w:val="en-US" w:eastAsia="zh-CN" w:bidi="ar-SA"/>
              </w:rPr>
            </w:pPr>
          </w:p>
        </w:tc>
        <w:tc>
          <w:tcPr>
            <w:tcW w:w="0" w:type="auto"/>
            <w:vAlign w:val="center"/>
          </w:tcPr>
          <w:p>
            <w:pPr>
              <w:widowControl/>
              <w:jc w:val="center"/>
              <w:rPr>
                <w:rFonts w:hint="eastAsia" w:ascii="仿宋_GB2312" w:hAnsi="仿宋_GB2312" w:eastAsia="仿宋_GB2312" w:cs="仿宋_GB2312"/>
                <w:color w:val="000000"/>
                <w:kern w:val="0"/>
                <w:sz w:val="21"/>
                <w:szCs w:val="21"/>
                <w:lang w:val="en-US" w:eastAsia="zh-CN" w:bidi="ar-SA"/>
              </w:rPr>
            </w:pPr>
          </w:p>
        </w:tc>
        <w:tc>
          <w:tcPr>
            <w:tcW w:w="0" w:type="auto"/>
            <w:vAlign w:val="center"/>
          </w:tcPr>
          <w:p>
            <w:pPr>
              <w:widowControl/>
              <w:jc w:val="left"/>
              <w:rPr>
                <w:rFonts w:ascii="仿宋_GB2312" w:hAnsi="仿宋_GB2312" w:eastAsia="仿宋_GB2312" w:cs="仿宋_GB2312"/>
                <w:szCs w:val="21"/>
              </w:rPr>
            </w:pPr>
            <w:r>
              <w:rPr>
                <w:rFonts w:hint="eastAsia" w:ascii="仿宋_GB2312" w:hAnsi="仿宋_GB2312" w:eastAsia="仿宋_GB2312" w:cs="仿宋_GB2312"/>
                <w:color w:val="000000"/>
                <w:kern w:val="0"/>
                <w:szCs w:val="21"/>
              </w:rPr>
              <w:t>√</w:t>
            </w:r>
          </w:p>
          <w:p>
            <w:pPr>
              <w:widowControl/>
              <w:jc w:val="center"/>
              <w:rPr>
                <w:rFonts w:hint="eastAsia" w:ascii="仿宋_GB2312" w:hAnsi="仿宋_GB2312" w:eastAsia="仿宋_GB2312" w:cs="仿宋_GB2312"/>
                <w:color w:val="000000"/>
                <w:kern w:val="0"/>
                <w:sz w:val="21"/>
                <w:szCs w:val="21"/>
                <w:lang w:val="en-US" w:eastAsia="zh-CN" w:bidi="ar-SA"/>
              </w:rPr>
            </w:pPr>
          </w:p>
        </w:tc>
        <w:tc>
          <w:tcPr>
            <w:tcW w:w="0" w:type="auto"/>
            <w:vAlign w:val="center"/>
          </w:tcPr>
          <w:p>
            <w:pPr>
              <w:widowControl/>
              <w:jc w:val="left"/>
              <w:rPr>
                <w:rFonts w:ascii="仿宋_GB2312" w:hAnsi="仿宋_GB2312" w:eastAsia="仿宋_GB2312" w:cs="仿宋_GB2312"/>
                <w:szCs w:val="21"/>
              </w:rPr>
            </w:pPr>
            <w:r>
              <w:rPr>
                <w:rFonts w:hint="eastAsia" w:ascii="仿宋_GB2312" w:hAnsi="仿宋_GB2312" w:eastAsia="仿宋_GB2312" w:cs="仿宋_GB2312"/>
                <w:color w:val="000000"/>
                <w:kern w:val="0"/>
                <w:szCs w:val="21"/>
              </w:rPr>
              <w:t>√</w:t>
            </w:r>
          </w:p>
          <w:p>
            <w:pPr>
              <w:widowControl/>
              <w:jc w:val="center"/>
              <w:rPr>
                <w:rFonts w:hint="eastAsia" w:ascii="仿宋_GB2312" w:hAnsi="仿宋_GB2312" w:eastAsia="仿宋_GB2312" w:cs="仿宋_GB2312"/>
                <w:color w:val="000000"/>
                <w:kern w:val="0"/>
                <w:sz w:val="21"/>
                <w:szCs w:val="21"/>
                <w:lang w:val="en-US" w:eastAsia="zh-CN" w:bidi="ar-SA"/>
              </w:rPr>
            </w:pPr>
          </w:p>
        </w:tc>
      </w:tr>
    </w:tbl>
    <w:p/>
    <w:sectPr>
      <w:footerReference r:id="rId3" w:type="default"/>
      <w:pgSz w:w="16838" w:h="11906" w:orient="landscape"/>
      <w:pgMar w:top="85"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403F8"/>
    <w:rsid w:val="10044E85"/>
    <w:rsid w:val="4A8E1F40"/>
    <w:rsid w:val="509C01D9"/>
    <w:rsid w:val="662403F8"/>
    <w:rsid w:val="69680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ascii="宋体" w:hAnsi="宋体"/>
      <w:b/>
      <w:kern w:val="0"/>
      <w:sz w:val="27"/>
      <w:szCs w:val="27"/>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3188</Words>
  <Characters>3371</Characters>
  <Lines>0</Lines>
  <Paragraphs>0</Paragraphs>
  <TotalTime>7</TotalTime>
  <ScaleCrop>false</ScaleCrop>
  <LinksUpToDate>false</LinksUpToDate>
  <CharactersWithSpaces>3412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2020-11-30T00:17:00Z</dcterms:created>
  <dc:creator>轻风拂柳</dc:creator>
  <cp:lastModifiedBy>LC。</cp:lastModifiedBy>
  <dcterms:modified xsi:type="dcterms:W3CDTF">2025-12-17T09:28:33Z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TemplateDocerSaveRecord">
    <vt:lpwstr>eyJoZGlkIjoiNDgwNGIyOTMyODEyZjMwMzhkYWY1ZDU1NzJmN2YyNzIiLCJ1c2VySWQiOiI4NjUwNjUyNjIifQ==</vt:lpwstr>
  </property>
  <property fmtid="{D5CDD505-2E9C-101B-9397-08002B2CF9AE}" pid="4" name="ICV">
    <vt:lpwstr>F80F36EA53EC470780C21D320BC0406B</vt:lpwstr>
  </property>
</Properties>
</file>