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完全或部分丧失劳动能力提取住房公积金服务指南</w:t>
      </w:r>
    </w:p>
    <w:p>
      <w:pPr>
        <w:widowControl/>
        <w:shd w:val="clear" w:color="auto" w:fill="FFFFFF"/>
        <w:spacing w:line="36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-1</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职工完全或者部分丧失劳动能力，并与单位终止劳动关系的。</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个人住房公积金账户封存且不存在欠缴情况，一次性提取。</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7968" w:type="dxa"/>
        <w:jc w:val="center"/>
        <w:tblCellSpacing w:w="0" w:type="dxa"/>
        <w:tblLayout w:type="autofit"/>
        <w:tblCellMar>
          <w:top w:w="0" w:type="dxa"/>
          <w:left w:w="0" w:type="dxa"/>
          <w:bottom w:w="0" w:type="dxa"/>
          <w:right w:w="0" w:type="dxa"/>
        </w:tblCellMar>
      </w:tblPr>
      <w:tblGrid>
        <w:gridCol w:w="1843"/>
        <w:gridCol w:w="6125"/>
      </w:tblGrid>
      <w:tr>
        <w:tblPrEx>
          <w:tblCellMar>
            <w:top w:w="0" w:type="dxa"/>
            <w:left w:w="0" w:type="dxa"/>
            <w:bottom w:w="0" w:type="dxa"/>
            <w:right w:w="0" w:type="dxa"/>
          </w:tblCellMar>
        </w:tblPrEx>
        <w:trPr>
          <w:trHeight w:val="375" w:hRule="atLeast"/>
          <w:tblCellSpacing w:w="0" w:type="dxa"/>
          <w:jc w:val="center"/>
        </w:trPr>
        <w:tc>
          <w:tcPr>
            <w:tcW w:w="18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6125"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blCellSpacing w:w="0" w:type="dxa"/>
          <w:jc w:val="center"/>
        </w:trPr>
        <w:tc>
          <w:tcPr>
            <w:tcW w:w="184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完全或者部分丧失劳动能力</w:t>
            </w:r>
          </w:p>
        </w:tc>
        <w:tc>
          <w:tcPr>
            <w:tcW w:w="6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line="30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pacing w:line="30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 与单位终止劳动关系证明</w:t>
            </w:r>
            <w:r>
              <w:rPr>
                <w:rFonts w:hint="eastAsia" w:ascii="仿宋" w:hAnsi="仿宋" w:eastAsia="仿宋" w:cs="宋体"/>
                <w:color w:val="000000"/>
                <w:kern w:val="0"/>
                <w:sz w:val="32"/>
                <w:szCs w:val="32"/>
                <w:lang w:eastAsia="zh-CN"/>
              </w:rPr>
              <w:t>或者失业证明</w:t>
            </w:r>
            <w:r>
              <w:rPr>
                <w:rFonts w:hint="eastAsia" w:ascii="仿宋" w:hAnsi="仿宋" w:eastAsia="仿宋" w:cs="宋体"/>
                <w:color w:val="000000"/>
                <w:kern w:val="0"/>
                <w:sz w:val="32"/>
                <w:szCs w:val="32"/>
              </w:rPr>
              <w:t>（原件，若无可用《与单位终止劳动关系证明告知承诺书》代替）；</w:t>
            </w:r>
          </w:p>
          <w:p>
            <w:pPr>
              <w:widowControl/>
              <w:spacing w:line="30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3.劳动能力鉴定部门出具的劳动能力鉴定材料（原件）。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网上办理：申请人办理提取→中心审批（不超过3个工作日）→提取转账。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柳州市住房公积金管理中心网站（http://wt.zfgjj.liuzhou.gov.cn/lznt/login.do）</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525770" cy="3237865"/>
            <wp:effectExtent l="0" t="0" r="17780" b="63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525770" cy="3237865"/>
                    </a:xfrm>
                    <a:prstGeom prst="rect">
                      <a:avLst/>
                    </a:prstGeom>
                  </pic:spPr>
                </pic:pic>
              </a:graphicData>
            </a:graphic>
          </wp:inline>
        </w:drawing>
      </w: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委托代办：除申请人身份证原件和上表所列材料外，还需提供申请人书面授权委托书（需申请人签名按手印）和代办人身份证原件。住房公积金提取代办委托书可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r>
        <w:rPr>
          <w:rFonts w:hint="eastAsia" w:ascii="仿宋" w:hAnsi="仿宋" w:eastAsia="仿宋" w:cs="宋体"/>
          <w:color w:val="000000"/>
          <w:kern w:val="0"/>
          <w:sz w:val="32"/>
          <w:szCs w:val="32"/>
          <w:lang w:eastAsia="zh-CN"/>
        </w:rPr>
        <w:t>。</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0" w:name="_GoBack"/>
      <w:bookmarkEnd w:id="0"/>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459105</wp:posOffset>
                </wp:positionH>
                <wp:positionV relativeFrom="paragraph">
                  <wp:posOffset>35560</wp:posOffset>
                </wp:positionV>
                <wp:extent cx="1710055" cy="266700"/>
                <wp:effectExtent l="0" t="0" r="4445" b="0"/>
                <wp:wrapNone/>
                <wp:docPr id="2" name="文本框 1"/>
                <wp:cNvGraphicFramePr/>
                <a:graphic xmlns:a="http://schemas.openxmlformats.org/drawingml/2006/main">
                  <a:graphicData uri="http://schemas.microsoft.com/office/word/2010/wordprocessingShape">
                    <wps:wsp>
                      <wps:cNvSpPr txBox="1"/>
                      <wps:spPr>
                        <a:xfrm>
                          <a:off x="0" y="0"/>
                          <a:ext cx="171005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6.15pt;margin-top:2.8pt;height:21pt;width:134.65pt;z-index:251660288;mso-width-relative:page;mso-height-relative:page;" fillcolor="#FFFFFF [3201]" filled="t" stroked="f" coordsize="21600,21600" o:gfxdata="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McYA9UAAAAHAQAADwAAAAAAAAABACAAAAAiAAAAZHJzL2Rvd25yZXYueG1s&#10;UEsBAhQAFAAAAAgAh07iQAW0ZSj7AQAA5QMAAA4AAAAAAAAAAQAgAAAAJAEAAGRycy9lMm9Eb2Mu&#10;eG1sUEsFBgAAAAAGAAYAWQEAAJEFAAAAAA==&#10;">
                <v:fill on="t" focussize="0,0"/>
                <v:stroke on="f"/>
                <v:imagedata o:title=""/>
                <o:lock v:ext="edit" aspectratio="f"/>
                <v:textbo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v:textbox>
              </v:shape>
            </w:pict>
          </mc:Fallback>
        </mc:AlternateContent>
      </w: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405" w:lineRule="atLeast"/>
        <w:ind w:firstLine="482"/>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abstractNum w:abstractNumId="1">
    <w:nsid w:val="5560DA46"/>
    <w:multiLevelType w:val="singleLevel"/>
    <w:tmpl w:val="5560DA4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24D7E"/>
    <w:rsid w:val="0003411E"/>
    <w:rsid w:val="0004286B"/>
    <w:rsid w:val="00042C56"/>
    <w:rsid w:val="000519EA"/>
    <w:rsid w:val="00071BFE"/>
    <w:rsid w:val="000941DA"/>
    <w:rsid w:val="00116080"/>
    <w:rsid w:val="001168B4"/>
    <w:rsid w:val="0013314B"/>
    <w:rsid w:val="00150998"/>
    <w:rsid w:val="00166302"/>
    <w:rsid w:val="001B1120"/>
    <w:rsid w:val="001B354D"/>
    <w:rsid w:val="001B50F0"/>
    <w:rsid w:val="001D2B4E"/>
    <w:rsid w:val="00211C36"/>
    <w:rsid w:val="00237884"/>
    <w:rsid w:val="00247B32"/>
    <w:rsid w:val="00251457"/>
    <w:rsid w:val="00261C3F"/>
    <w:rsid w:val="00280AE3"/>
    <w:rsid w:val="002915CB"/>
    <w:rsid w:val="002A4A86"/>
    <w:rsid w:val="002B66E0"/>
    <w:rsid w:val="002C0DFF"/>
    <w:rsid w:val="002F54A3"/>
    <w:rsid w:val="003204E3"/>
    <w:rsid w:val="0033009E"/>
    <w:rsid w:val="00387FD1"/>
    <w:rsid w:val="003A6941"/>
    <w:rsid w:val="003A6A8F"/>
    <w:rsid w:val="003B10D8"/>
    <w:rsid w:val="00410534"/>
    <w:rsid w:val="00415066"/>
    <w:rsid w:val="0041624A"/>
    <w:rsid w:val="00421AD6"/>
    <w:rsid w:val="00427745"/>
    <w:rsid w:val="00430E6F"/>
    <w:rsid w:val="004365B6"/>
    <w:rsid w:val="0043772B"/>
    <w:rsid w:val="00457889"/>
    <w:rsid w:val="00472C49"/>
    <w:rsid w:val="00473378"/>
    <w:rsid w:val="00473C6F"/>
    <w:rsid w:val="00476C61"/>
    <w:rsid w:val="004A0A3D"/>
    <w:rsid w:val="004A5EE9"/>
    <w:rsid w:val="004C0341"/>
    <w:rsid w:val="00500E86"/>
    <w:rsid w:val="005149B0"/>
    <w:rsid w:val="00536154"/>
    <w:rsid w:val="00562E15"/>
    <w:rsid w:val="00582699"/>
    <w:rsid w:val="00596EA4"/>
    <w:rsid w:val="005F590C"/>
    <w:rsid w:val="00637E60"/>
    <w:rsid w:val="0065664E"/>
    <w:rsid w:val="00660A75"/>
    <w:rsid w:val="006745D8"/>
    <w:rsid w:val="00677020"/>
    <w:rsid w:val="006A3815"/>
    <w:rsid w:val="006B53C4"/>
    <w:rsid w:val="006E76B5"/>
    <w:rsid w:val="00704BAC"/>
    <w:rsid w:val="00731703"/>
    <w:rsid w:val="0075429E"/>
    <w:rsid w:val="007615B6"/>
    <w:rsid w:val="00796255"/>
    <w:rsid w:val="007C0A9B"/>
    <w:rsid w:val="007D69A7"/>
    <w:rsid w:val="007F2640"/>
    <w:rsid w:val="00827369"/>
    <w:rsid w:val="00856123"/>
    <w:rsid w:val="008E43B6"/>
    <w:rsid w:val="009008F8"/>
    <w:rsid w:val="00900A12"/>
    <w:rsid w:val="009013C8"/>
    <w:rsid w:val="009177AD"/>
    <w:rsid w:val="00921A5D"/>
    <w:rsid w:val="009535CC"/>
    <w:rsid w:val="00956864"/>
    <w:rsid w:val="009578F0"/>
    <w:rsid w:val="00964128"/>
    <w:rsid w:val="00967811"/>
    <w:rsid w:val="00991A46"/>
    <w:rsid w:val="00997F74"/>
    <w:rsid w:val="009A7AF8"/>
    <w:rsid w:val="009B5065"/>
    <w:rsid w:val="009C0AF3"/>
    <w:rsid w:val="00A479C5"/>
    <w:rsid w:val="00A63B25"/>
    <w:rsid w:val="00A86F82"/>
    <w:rsid w:val="00AD7507"/>
    <w:rsid w:val="00B1727F"/>
    <w:rsid w:val="00B23FCD"/>
    <w:rsid w:val="00B35DD1"/>
    <w:rsid w:val="00B402D2"/>
    <w:rsid w:val="00B45D64"/>
    <w:rsid w:val="00B64E99"/>
    <w:rsid w:val="00B72730"/>
    <w:rsid w:val="00B8118C"/>
    <w:rsid w:val="00B81729"/>
    <w:rsid w:val="00BA441F"/>
    <w:rsid w:val="00BD16B9"/>
    <w:rsid w:val="00BF0E13"/>
    <w:rsid w:val="00BF201A"/>
    <w:rsid w:val="00C07E3E"/>
    <w:rsid w:val="00C11A03"/>
    <w:rsid w:val="00C52759"/>
    <w:rsid w:val="00C8570A"/>
    <w:rsid w:val="00CB29B8"/>
    <w:rsid w:val="00CC6641"/>
    <w:rsid w:val="00CD59A6"/>
    <w:rsid w:val="00CE2FF7"/>
    <w:rsid w:val="00CF07D2"/>
    <w:rsid w:val="00CF5BF7"/>
    <w:rsid w:val="00D05A80"/>
    <w:rsid w:val="00D253B3"/>
    <w:rsid w:val="00D40480"/>
    <w:rsid w:val="00D53F81"/>
    <w:rsid w:val="00DB1DBB"/>
    <w:rsid w:val="00DD1E40"/>
    <w:rsid w:val="00DD2AC3"/>
    <w:rsid w:val="00DD357D"/>
    <w:rsid w:val="00DE27F5"/>
    <w:rsid w:val="00E1105C"/>
    <w:rsid w:val="00E11AA9"/>
    <w:rsid w:val="00E506B5"/>
    <w:rsid w:val="00E5385F"/>
    <w:rsid w:val="00E74F1F"/>
    <w:rsid w:val="00F004AD"/>
    <w:rsid w:val="00F01B29"/>
    <w:rsid w:val="00F34AB9"/>
    <w:rsid w:val="00F45746"/>
    <w:rsid w:val="00F504BA"/>
    <w:rsid w:val="00F57545"/>
    <w:rsid w:val="00F647C6"/>
    <w:rsid w:val="00F70609"/>
    <w:rsid w:val="00F76651"/>
    <w:rsid w:val="00F905B1"/>
    <w:rsid w:val="00FC4881"/>
    <w:rsid w:val="00FF43B0"/>
    <w:rsid w:val="07C03DF5"/>
    <w:rsid w:val="085A29BE"/>
    <w:rsid w:val="0A79745F"/>
    <w:rsid w:val="1BF42D22"/>
    <w:rsid w:val="22025532"/>
    <w:rsid w:val="3A445910"/>
    <w:rsid w:val="3CB90F14"/>
    <w:rsid w:val="3FBC14B5"/>
    <w:rsid w:val="401651A8"/>
    <w:rsid w:val="570766C2"/>
    <w:rsid w:val="697B4DC2"/>
    <w:rsid w:val="69A51678"/>
    <w:rsid w:val="734B14E2"/>
    <w:rsid w:val="79F67211"/>
    <w:rsid w:val="7DA6774B"/>
    <w:rsid w:val="7E55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1647</Words>
  <Characters>2022</Characters>
  <Lines>11</Lines>
  <Paragraphs>3</Paragraphs>
  <TotalTime>0</TotalTime>
  <ScaleCrop>false</ScaleCrop>
  <LinksUpToDate>false</LinksUpToDate>
  <CharactersWithSpaces>2083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2021-12-14T10:22:00Z</dcterms:created>
  <dc:creator>lenovo000001</dc:creator>
  <cp:lastModifiedBy>⭐⭐</cp:lastModifiedBy>
  <dcterms:modified xsi:type="dcterms:W3CDTF">2023-10-26T08:44:44Z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E96100EAF5E64D6EA1A5C79420C2BCC9</vt:lpwstr>
  </property>
</Properties>
</file>