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离职提取住房公积金</w:t>
      </w:r>
      <w:r>
        <w:rPr>
          <w:rFonts w:hint="eastAsia" w:ascii="仿宋" w:hAnsi="仿宋" w:eastAsia="仿宋" w:cs="宋体"/>
          <w:b/>
          <w:bCs/>
          <w:color w:val="000000"/>
          <w:kern w:val="0"/>
          <w:sz w:val="36"/>
          <w:szCs w:val="36"/>
          <w:lang w:eastAsia="zh-CN"/>
        </w:rPr>
        <w:t>服务</w:t>
      </w:r>
      <w:r>
        <w:rPr>
          <w:rFonts w:hint="eastAsia" w:ascii="仿宋" w:hAnsi="仿宋" w:eastAsia="仿宋" w:cs="宋体"/>
          <w:b/>
          <w:bCs/>
          <w:color w:val="000000"/>
          <w:kern w:val="0"/>
          <w:sz w:val="36"/>
          <w:szCs w:val="36"/>
        </w:rPr>
        <w:t>指南</w:t>
      </w:r>
    </w:p>
    <w:p>
      <w:pPr>
        <w:widowControl/>
        <w:shd w:val="clear" w:color="auto" w:fill="FFFFFF"/>
        <w:spacing w:line="360" w:lineRule="atLeast"/>
        <w:jc w:val="center"/>
        <w:rPr>
          <w:rFonts w:hint="eastAsia" w:ascii="仿宋" w:hAnsi="仿宋" w:eastAsia="仿宋" w:cs="宋体"/>
          <w:color w:val="656565"/>
          <w:kern w:val="0"/>
          <w:sz w:val="32"/>
          <w:szCs w:val="32"/>
          <w:lang w:eastAsia="zh-CN"/>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1</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职工与单位终止劳动关系后，封存满半年且未建立新的人事劳动关系的。</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个人住房公积金账户封存且不存在欠缴情况，一次性提取。</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7968" w:type="dxa"/>
        <w:jc w:val="center"/>
        <w:tblCellSpacing w:w="0" w:type="dxa"/>
        <w:tblLayout w:type="autofit"/>
        <w:tblCellMar>
          <w:top w:w="0" w:type="dxa"/>
          <w:left w:w="0" w:type="dxa"/>
          <w:bottom w:w="0" w:type="dxa"/>
          <w:right w:w="0" w:type="dxa"/>
        </w:tblCellMar>
      </w:tblPr>
      <w:tblGrid>
        <w:gridCol w:w="1843"/>
        <w:gridCol w:w="6125"/>
      </w:tblGrid>
      <w:tr>
        <w:tblPrEx>
          <w:tblCellMar>
            <w:top w:w="0" w:type="dxa"/>
            <w:left w:w="0" w:type="dxa"/>
            <w:bottom w:w="0" w:type="dxa"/>
            <w:right w:w="0" w:type="dxa"/>
          </w:tblCellMar>
        </w:tblPrEx>
        <w:trPr>
          <w:trHeight w:val="375" w:hRule="atLeast"/>
          <w:tblCellSpacing w:w="0" w:type="dxa"/>
          <w:jc w:val="center"/>
        </w:trPr>
        <w:tc>
          <w:tcPr>
            <w:tcW w:w="18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6125"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blCellSpacing w:w="0" w:type="dxa"/>
          <w:jc w:val="center"/>
        </w:trPr>
        <w:tc>
          <w:tcPr>
            <w:tcW w:w="184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b/>
                <w:color w:val="656565"/>
                <w:kern w:val="0"/>
                <w:sz w:val="32"/>
                <w:szCs w:val="32"/>
              </w:rPr>
            </w:pPr>
            <w:r>
              <w:rPr>
                <w:rFonts w:hint="eastAsia" w:ascii="仿宋" w:hAnsi="仿宋" w:eastAsia="仿宋" w:cs="宋体"/>
                <w:color w:val="000000"/>
                <w:kern w:val="0"/>
                <w:sz w:val="32"/>
                <w:szCs w:val="32"/>
              </w:rPr>
              <w:t>与单位终止劳动关系后，封存满半年且未建立新的人事劳动关系的</w:t>
            </w:r>
          </w:p>
        </w:tc>
        <w:tc>
          <w:tcPr>
            <w:tcW w:w="6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pacing w:line="30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2.与单位终止劳动关系证明（原件，若无可用与单位终止劳动关系证明告知承诺书代替）。</w:t>
            </w:r>
          </w:p>
          <w:p>
            <w:pPr>
              <w:widowControl/>
              <w:spacing w:line="315" w:lineRule="atLeast"/>
              <w:jc w:val="left"/>
              <w:rPr>
                <w:rFonts w:ascii="仿宋" w:hAnsi="仿宋" w:eastAsia="仿宋" w:cs="宋体"/>
                <w:color w:val="656565"/>
                <w:kern w:val="0"/>
                <w:sz w:val="32"/>
                <w:szCs w:val="32"/>
              </w:rPr>
            </w:pP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网上办理：申请人办理提取→中心审批（不超过3个工作日）→提取转账。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1、柳州市住房公积金管理中心网站（http://wt.zfgjj.liuzhou.gov.cn/lznt/login.do）</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2、柳州市住房公积金管理中心公众号</w:t>
      </w:r>
    </w:p>
    <w:p>
      <w:pPr>
        <w:widowControl/>
        <w:numPr>
          <w:ilvl w:val="0"/>
          <w:numId w:val="3"/>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龙城市民云APP</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268595" cy="3087370"/>
            <wp:effectExtent l="0" t="0" r="8255"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268595" cy="3087370"/>
                    </a:xfrm>
                    <a:prstGeom prst="rect">
                      <a:avLst/>
                    </a:prstGeom>
                  </pic:spPr>
                </pic:pic>
              </a:graphicData>
            </a:graphic>
          </wp:inline>
        </w:drawing>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委托代办：除申请人身份证原件和上表所列材料外，还需提供申请人书面授权委托书（需申请人签名按手印）和代办人身份证原件。住房公积金提取代办委托书可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r>
        <w:rPr>
          <w:rFonts w:hint="eastAsia" w:ascii="仿宋" w:hAnsi="仿宋" w:eastAsia="仿宋" w:cs="宋体"/>
          <w:color w:val="000000"/>
          <w:kern w:val="0"/>
          <w:sz w:val="32"/>
          <w:szCs w:val="32"/>
          <w:lang w:eastAsia="zh-CN"/>
        </w:rPr>
        <w:t>缴存人使用《</w:t>
      </w:r>
      <w:r>
        <w:rPr>
          <w:rFonts w:hint="eastAsia" w:ascii="仿宋" w:hAnsi="仿宋" w:eastAsia="仿宋" w:cs="宋体"/>
          <w:color w:val="000000"/>
          <w:kern w:val="0"/>
          <w:sz w:val="32"/>
          <w:szCs w:val="32"/>
        </w:rPr>
        <w:t>与单位终止劳动关系证明告知承诺书</w:t>
      </w:r>
      <w:r>
        <w:rPr>
          <w:rFonts w:hint="eastAsia" w:ascii="仿宋" w:hAnsi="仿宋" w:eastAsia="仿宋" w:cs="宋体"/>
          <w:color w:val="000000"/>
          <w:kern w:val="0"/>
          <w:sz w:val="32"/>
          <w:szCs w:val="32"/>
          <w:lang w:eastAsia="zh-CN"/>
        </w:rPr>
        <w:t>》办理提取的，不可委托代办。</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r>
        <w:rPr>
          <w:rFonts w:hint="eastAsia" w:ascii="仿宋" w:hAnsi="仿宋" w:eastAsia="仿宋" w:cs="宋体"/>
          <w:color w:val="000000"/>
          <w:kern w:val="0"/>
          <w:sz w:val="32"/>
          <w:szCs w:val="32"/>
          <w:lang w:val="en-US" w:eastAsia="zh-CN"/>
        </w:rPr>
        <w:t>.</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0" w:name="_GoBack"/>
      <w:bookmarkEnd w:id="0"/>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416560</wp:posOffset>
                </wp:positionH>
                <wp:positionV relativeFrom="paragraph">
                  <wp:posOffset>57150</wp:posOffset>
                </wp:positionV>
                <wp:extent cx="1583055" cy="266700"/>
                <wp:effectExtent l="0" t="0" r="17145" b="0"/>
                <wp:wrapNone/>
                <wp:docPr id="2" name="文本框 1"/>
                <wp:cNvGraphicFramePr/>
                <a:graphic xmlns:a="http://schemas.openxmlformats.org/drawingml/2006/main">
                  <a:graphicData uri="http://schemas.microsoft.com/office/word/2010/wordprocessingShape">
                    <wps:wsp>
                      <wps:cNvSpPr txBox="1"/>
                      <wps:spPr>
                        <a:xfrm>
                          <a:off x="0" y="0"/>
                          <a:ext cx="158305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pPr>
                            <w:r>
                              <w:rPr>
                                <w:rFonts w:hint="eastAsia" w:asciiTheme="minorHAnsi" w:eastAsiaTheme="minorEastAsia" w:cstheme="minorBidi"/>
                                <w:b/>
                                <w:bCs/>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2.8pt;margin-top:4.5pt;height:21pt;width:124.65pt;z-index:251660288;mso-width-relative:page;mso-height-relative:page;" fillcolor="#FFFFFF [3201]" filled="t" stroked="f" coordsize="21600,21600" o:gfxdata="UEsDBAoAAAAAAIdO4kAAAAAAAAAAAAAAAAAEAAAAZHJzL1BLAwQUAAAACACHTuJAZVY3KNYAAAAH&#10;AQAADwAAAGRycy9kb3ducmV2LnhtbE2PzU7DMBCE70i8g7VIXBC1A01KQjaVQCri2p8HcGI3iYjX&#10;Uew27dt3OcFxNKOZb8r1xQ3ibKfQe0JIFgqEpcabnlqEw37z/AYiRE1GD54swtUGWFf3d6UujJ9p&#10;a8+72AouoVBohC7GsZAyNJ11Oiz8aIm9o5+cjiynVppJz1zuBvmiVCad7okXOj3az842P7uTQzh+&#10;z09pPtdf8bDaLrMP3a9qf0V8fEjUO4hoL/EvDL/4jA4VM9X+RCaIASFLM04i5PyI7ddkmYOoEdJE&#10;gaxK+Z+/ugFQSwMEFAAAAAgAh07iQOxGWHn7AQAA5QMAAA4AAABkcnMvZTJvRG9jLnhtbK1TwY7T&#10;MBC9I/EPlu80aVDLUjVdwVblglikhQ9wHTuxZHuM7TYpHwB/wIkL9/2ufgdjp9uFctkDOTj2eObN&#10;vDfj5fVgNNkLHxTYmk4nJSXCcmiUbWv6+dPmxRUlITLbMA1W1PQgAr1ePX+27N1CVNCBboQnCGLD&#10;onc17WJ0i6IIvBOGhQk4YfFSgjcs4tG3ReNZj+hGF1VZzosefOM8cBECWtfjJT0h+qcAgpSKizXw&#10;nRE2jqheaBaRUuiUC3SVq5VS8HgrZRCR6Joi05hXTIL7bVqL1ZItWs9cp/ipBPaUEi44GaYsJj1D&#10;rVlkZOfVP1BGcQ8BZJxwMMVIJCuCLKblhTZ3HXMic0GpgzuLHv4fLP+w/+iJampaUWKZwYYff3w/&#10;/rw//vpGpkme3oUFet059IvDWxhwaB7sAY2J9SC9SX/kQ/AexT2cxRVDJDwFza5elrMZJRzvqvn8&#10;VZnVLx6jnQ/xnQBD0qamHpuXNWX79yFiJej64JKSBdCq2Sit88G32xvtyZ5hozf5S0ViyF9u2pK+&#10;pq9nVarDOKQdbJuTWEhQY4i2GJl4j/zSLg7b4STGFpoDaoFPKN7iIjUgJNfKUdKB/3pp63G4MM2X&#10;HfOCEh/1DYyzyCxH/5qOJC282UWQKhNNGcc0p0Kw+5nMaVLTeP15zl6Pr3P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WNyjWAAAABwEAAA8AAAAAAAAAAQAgAAAAIgAAAGRycy9kb3ducmV2Lnht&#10;bFBLAQIUABQAAAAIAIdO4kDsRlh5+wEAAOUDAAAOAAAAAAAAAAEAIAAAACUBAABkcnMvZTJvRG9j&#10;LnhtbFBLBQYAAAAABgAGAFkBAACSBQAAAAA=&#10;">
                <v:fill on="t" focussize="0,0"/>
                <v:stroke on="f"/>
                <v:imagedata o:title=""/>
                <o:lock v:ext="edit" aspectratio="f"/>
                <v:textbox>
                  <w:txbxContent>
                    <w:p>
                      <w:pPr>
                        <w:pStyle w:val="5"/>
                        <w:spacing w:before="0" w:beforeAutospacing="0" w:after="0" w:afterAutospacing="0"/>
                      </w:pPr>
                      <w:r>
                        <w:rPr>
                          <w:rFonts w:hint="eastAsia" w:asciiTheme="minorHAnsi" w:eastAsiaTheme="minorEastAsia" w:cstheme="minorBidi"/>
                          <w:b/>
                          <w:bCs/>
                          <w:color w:val="000000" w:themeColor="dark1"/>
                          <w:sz w:val="20"/>
                          <w:szCs w:val="20"/>
                          <w14:textFill>
                            <w14:solidFill>
                              <w14:schemeClr w14:val="dk1"/>
                            </w14:solidFill>
                          </w14:textFill>
                        </w:rPr>
                        <w:t>全国住房公积金小程序</w:t>
                      </w:r>
                    </w:p>
                  </w:txbxContent>
                </v:textbox>
              </v:shape>
            </w:pict>
          </mc:Fallback>
        </mc:AlternateContent>
      </w: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405" w:lineRule="atLeast"/>
        <w:ind w:firstLine="482"/>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abstractNum w:abstractNumId="1">
    <w:nsid w:val="4AF93B18"/>
    <w:multiLevelType w:val="singleLevel"/>
    <w:tmpl w:val="4AF93B18"/>
    <w:lvl w:ilvl="0" w:tentative="0">
      <w:start w:val="3"/>
      <w:numFmt w:val="decimal"/>
      <w:suff w:val="nothing"/>
      <w:lvlText w:val="%1、"/>
      <w:lvlJc w:val="left"/>
    </w:lvl>
  </w:abstractNum>
  <w:abstractNum w:abstractNumId="2">
    <w:nsid w:val="5560DA46"/>
    <w:multiLevelType w:val="singleLevel"/>
    <w:tmpl w:val="5560DA4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24D7E"/>
    <w:rsid w:val="0003411E"/>
    <w:rsid w:val="0004286B"/>
    <w:rsid w:val="00042C56"/>
    <w:rsid w:val="00071BFE"/>
    <w:rsid w:val="000941DA"/>
    <w:rsid w:val="00116080"/>
    <w:rsid w:val="001168B4"/>
    <w:rsid w:val="0013314B"/>
    <w:rsid w:val="00150998"/>
    <w:rsid w:val="00166302"/>
    <w:rsid w:val="001B1120"/>
    <w:rsid w:val="001B354D"/>
    <w:rsid w:val="001B50F0"/>
    <w:rsid w:val="001D2B4E"/>
    <w:rsid w:val="00211C36"/>
    <w:rsid w:val="00237884"/>
    <w:rsid w:val="00247B32"/>
    <w:rsid w:val="00251457"/>
    <w:rsid w:val="00261C3F"/>
    <w:rsid w:val="00266FDF"/>
    <w:rsid w:val="00280AE3"/>
    <w:rsid w:val="002A4A86"/>
    <w:rsid w:val="002B66E0"/>
    <w:rsid w:val="002C0DFF"/>
    <w:rsid w:val="002F54A3"/>
    <w:rsid w:val="003204E3"/>
    <w:rsid w:val="0033009E"/>
    <w:rsid w:val="00387FD1"/>
    <w:rsid w:val="003A6941"/>
    <w:rsid w:val="003A6A8F"/>
    <w:rsid w:val="003B10D8"/>
    <w:rsid w:val="00410534"/>
    <w:rsid w:val="00415066"/>
    <w:rsid w:val="0041624A"/>
    <w:rsid w:val="00421AD6"/>
    <w:rsid w:val="00427745"/>
    <w:rsid w:val="00430E6F"/>
    <w:rsid w:val="004365B6"/>
    <w:rsid w:val="0043772B"/>
    <w:rsid w:val="00457889"/>
    <w:rsid w:val="00472C49"/>
    <w:rsid w:val="00473378"/>
    <w:rsid w:val="00473C6F"/>
    <w:rsid w:val="00476C61"/>
    <w:rsid w:val="004A0A3D"/>
    <w:rsid w:val="004A5EE9"/>
    <w:rsid w:val="004C0341"/>
    <w:rsid w:val="004C3424"/>
    <w:rsid w:val="00500E86"/>
    <w:rsid w:val="005149B0"/>
    <w:rsid w:val="00536154"/>
    <w:rsid w:val="00562E15"/>
    <w:rsid w:val="00582699"/>
    <w:rsid w:val="005903FC"/>
    <w:rsid w:val="00596EA4"/>
    <w:rsid w:val="005F590C"/>
    <w:rsid w:val="00637E60"/>
    <w:rsid w:val="0065664E"/>
    <w:rsid w:val="00660A75"/>
    <w:rsid w:val="00677020"/>
    <w:rsid w:val="006A3815"/>
    <w:rsid w:val="006B53C4"/>
    <w:rsid w:val="006E76B5"/>
    <w:rsid w:val="00704BAC"/>
    <w:rsid w:val="00731703"/>
    <w:rsid w:val="0075429E"/>
    <w:rsid w:val="007615B6"/>
    <w:rsid w:val="00796255"/>
    <w:rsid w:val="007C0A9B"/>
    <w:rsid w:val="007D69A7"/>
    <w:rsid w:val="007F2640"/>
    <w:rsid w:val="00827369"/>
    <w:rsid w:val="00856123"/>
    <w:rsid w:val="008E43B6"/>
    <w:rsid w:val="009008F8"/>
    <w:rsid w:val="00900A12"/>
    <w:rsid w:val="009013C8"/>
    <w:rsid w:val="009177AD"/>
    <w:rsid w:val="00921A5D"/>
    <w:rsid w:val="009535CC"/>
    <w:rsid w:val="00956864"/>
    <w:rsid w:val="009578F0"/>
    <w:rsid w:val="00964128"/>
    <w:rsid w:val="00967811"/>
    <w:rsid w:val="00991A46"/>
    <w:rsid w:val="00997F74"/>
    <w:rsid w:val="009A7AF8"/>
    <w:rsid w:val="009B5065"/>
    <w:rsid w:val="009C0AF3"/>
    <w:rsid w:val="00A479C5"/>
    <w:rsid w:val="00A63B25"/>
    <w:rsid w:val="00A86F82"/>
    <w:rsid w:val="00AD7507"/>
    <w:rsid w:val="00B1727F"/>
    <w:rsid w:val="00B23FCD"/>
    <w:rsid w:val="00B35DD1"/>
    <w:rsid w:val="00B402D2"/>
    <w:rsid w:val="00B45D64"/>
    <w:rsid w:val="00B64E99"/>
    <w:rsid w:val="00B72730"/>
    <w:rsid w:val="00B8118C"/>
    <w:rsid w:val="00B81729"/>
    <w:rsid w:val="00BA441F"/>
    <w:rsid w:val="00BD16B9"/>
    <w:rsid w:val="00BF0E13"/>
    <w:rsid w:val="00BF201A"/>
    <w:rsid w:val="00C07E3E"/>
    <w:rsid w:val="00C11A03"/>
    <w:rsid w:val="00C52759"/>
    <w:rsid w:val="00CB29B8"/>
    <w:rsid w:val="00CC6641"/>
    <w:rsid w:val="00CD59A6"/>
    <w:rsid w:val="00CE2FF7"/>
    <w:rsid w:val="00CF07D2"/>
    <w:rsid w:val="00CF5BF7"/>
    <w:rsid w:val="00D05A80"/>
    <w:rsid w:val="00D253B3"/>
    <w:rsid w:val="00D40480"/>
    <w:rsid w:val="00D53F81"/>
    <w:rsid w:val="00DB1DBB"/>
    <w:rsid w:val="00DD1E40"/>
    <w:rsid w:val="00DD2AC3"/>
    <w:rsid w:val="00DD357D"/>
    <w:rsid w:val="00DE27F5"/>
    <w:rsid w:val="00E1105C"/>
    <w:rsid w:val="00E11AA9"/>
    <w:rsid w:val="00E506B5"/>
    <w:rsid w:val="00E5385F"/>
    <w:rsid w:val="00E74F1F"/>
    <w:rsid w:val="00F004AD"/>
    <w:rsid w:val="00F01B29"/>
    <w:rsid w:val="00F34AB9"/>
    <w:rsid w:val="00F45746"/>
    <w:rsid w:val="00F504BA"/>
    <w:rsid w:val="00F57545"/>
    <w:rsid w:val="00F647C6"/>
    <w:rsid w:val="00F70609"/>
    <w:rsid w:val="00F76651"/>
    <w:rsid w:val="00F905B1"/>
    <w:rsid w:val="00FC4881"/>
    <w:rsid w:val="00FF43B0"/>
    <w:rsid w:val="065F10D4"/>
    <w:rsid w:val="09811362"/>
    <w:rsid w:val="0C656D19"/>
    <w:rsid w:val="10045C70"/>
    <w:rsid w:val="123A29F6"/>
    <w:rsid w:val="1A2D5495"/>
    <w:rsid w:val="1BA812A3"/>
    <w:rsid w:val="26C2340D"/>
    <w:rsid w:val="2C625B91"/>
    <w:rsid w:val="3529272A"/>
    <w:rsid w:val="36B424C7"/>
    <w:rsid w:val="3A445910"/>
    <w:rsid w:val="401651A8"/>
    <w:rsid w:val="469313EA"/>
    <w:rsid w:val="49C3384A"/>
    <w:rsid w:val="4BBF74EC"/>
    <w:rsid w:val="570766C2"/>
    <w:rsid w:val="5EBC69EF"/>
    <w:rsid w:val="5FDB0D14"/>
    <w:rsid w:val="671D35ED"/>
    <w:rsid w:val="69A51678"/>
    <w:rsid w:val="6BDD6B15"/>
    <w:rsid w:val="70F52EE5"/>
    <w:rsid w:val="79C65858"/>
    <w:rsid w:val="7A0F2259"/>
    <w:rsid w:val="7A4E2CBC"/>
    <w:rsid w:val="7DA6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1687</Words>
  <Characters>2064</Characters>
  <Lines>11</Lines>
  <Paragraphs>3</Paragraphs>
  <TotalTime>0</TotalTime>
  <ScaleCrop>false</ScaleCrop>
  <LinksUpToDate>false</LinksUpToDate>
  <CharactersWithSpaces>2124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2021-12-14T10:26:00Z</dcterms:created>
  <dc:creator>lenovo000001</dc:creator>
  <cp:lastModifiedBy>⭐⭐</cp:lastModifiedBy>
  <cp:lastPrinted>2021-12-23T07:43:00Z</cp:lastPrinted>
  <dcterms:modified xsi:type="dcterms:W3CDTF">2023-10-26T08:45:04Z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E96100EAF5E64D6EA1A5C79420C2BCC9</vt:lpwstr>
  </property>
</Properties>
</file>