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3-1</w:t>
      </w:r>
    </w:p>
    <w:p>
      <w:pPr>
        <w:jc w:val="center"/>
        <w:rPr>
          <w:rFonts w:hint="eastAsia" w:eastAsia="宋体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融安县临时救助流程图</w:t>
      </w:r>
    </w:p>
    <w:p>
      <w:pPr>
        <w:rPr>
          <w:rFonts w:hint="eastAsia"/>
        </w:rPr>
      </w:pPr>
    </w:p>
    <w:p>
      <w:pPr>
        <w:jc w:val="center"/>
      </w:pPr>
    </w:p>
    <w:p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85" o:spid="_x0000_s1026" style="position:absolute;left:0;margin-left:-2.15pt;margin-top:9.9pt;height:571.45pt;width:475.65pt;rotation:0f;z-index:251699200;" coordorigin="5479,3871" coordsize="9514,11430">
            <o:lock v:ext="edit" position="f" selection="f" grouping="f" rotation="f" cropping="f" text="f" aspectratio="f"/>
            <v:shape id="Quad Arrow 3" o:spid="_x0000_s1027" type="#_x0000_t202" style="position:absolute;left:10039;top:3871;height:480;width:133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临时救助</w:t>
                    </w:r>
                  </w:p>
                </w:txbxContent>
              </v:textbox>
            </v:shape>
            <v:shape id="Quad Arrow 4" o:spid="_x0000_s1028" type="#_x0000_t202" style="position:absolute;left:7088;top:4978;height:510;width:133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急难型救助</w:t>
                    </w:r>
                  </w:p>
                </w:txbxContent>
              </v:textbox>
            </v:shape>
            <v:shape id="Quad Arrow 5" o:spid="_x0000_s1029" type="#_x0000_t202" style="position:absolute;left:12874;top:4891;height:510;width:151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支出型救助</w:t>
                    </w:r>
                  </w:p>
                </w:txbxContent>
              </v:textbox>
            </v:shape>
            <v:shape id="Quad Arrow 7" o:spid="_x0000_s1030" type="#_x0000_t202" style="position:absolute;left:12529;top:5743;height:798;width:235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向户籍所在地或居住地乡镇申请</w:t>
                    </w:r>
                  </w:p>
                </w:txbxContent>
              </v:textbox>
            </v:shape>
            <v:shape id="Quad Arrow 9" o:spid="_x0000_s1031" type="#_x0000_t202" style="position:absolute;left:12949;top:6883;height:510;width:151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入户</w:t>
                    </w: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核实情况</w:t>
                    </w:r>
                    <w:r>
                      <w:rPr>
                        <w:rFonts w:hint="eastAsia" w:ascii="Calibri" w:hAnsi="Calibri" w:eastAsia="宋体" w:cs="黑体"/>
                        <w:kern w:val="2"/>
                        <w:sz w:val="15"/>
                        <w:szCs w:val="15"/>
                        <w:lang w:val="en-US" w:eastAsia="zh-CN" w:bidi="ar-SA"/>
                      </w:rPr>
                      <w:pict>
                        <v:shape id="图片 2" o:spid="_x0000_s1061" type="#_x0000_t75" style="height:18.75pt;width:60pt;rotation:0f;" o:ole="f" fillcolor="#FFFFFF" filled="f" o:preferrelative="t" stroked="f" coordorigin="0,0" coordsize="21600,21600">
                          <v:fill on="f" color2="#FFFFFF" focus="0%"/>
                          <v:imagedata gain="65536f" blacklevel="0f" gamma="0" o:title="" r:id="rId5"/>
                          <o:lock v:ext="edit" position="f" selection="f" grouping="f" rotation="f" cropping="f" text="f" aspectratio="t"/>
                          <w10:wrap type="none"/>
                          <w10:anchorlock/>
                        </v:shape>
                      </w:pic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核实情况</w:t>
                    </w:r>
                  </w:p>
                </w:txbxContent>
              </v:textbox>
            </v:shape>
            <v:shape id="Quad Arrow 12" o:spid="_x0000_s1032" type="#_x0000_t202" style="position:absolute;left:11374;top:7495;height:435;width:1050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终止程序</w:t>
                    </w:r>
                  </w:p>
                </w:txbxContent>
              </v:textbox>
            </v:shape>
            <v:shape id="Quad Arrow 13" o:spid="_x0000_s1033" type="#_x0000_t202" style="position:absolute;left:13069;top:7981;height:510;width:130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救助金额</w:t>
                    </w:r>
                  </w:p>
                </w:txbxContent>
              </v:textbox>
            </v:shape>
            <v:shape id="Quad Arrow 14" o:spid="_x0000_s1034" type="#_x0000_t202" style="position:absolute;left:12679;top:9079;height:750;width:220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乡镇提出审核意见，报县级民政部门审核</w:t>
                    </w:r>
                  </w:p>
                </w:txbxContent>
              </v:textbox>
            </v:shape>
            <v:shape id="Quad Arrow 15" o:spid="_x0000_s1035" type="#_x0000_t202" style="position:absolute;left:12679;top:10171;height:750;width:220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县级民政部门审核材料，认定救助方式和救助金额</w:t>
                    </w:r>
                  </w:p>
                </w:txbxContent>
              </v:textbox>
            </v:shape>
            <v:shape id="Quad Arrow 16" o:spid="_x0000_s1036" type="#_x0000_t202" style="position:absolute;left:13219;top:11326;height:420;width:1050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公示</w:t>
                    </w:r>
                  </w:p>
                </w:txbxContent>
              </v:textbox>
            </v:shape>
            <v:shape id="Quad Arrow 17" o:spid="_x0000_s1037" type="#_x0000_t202" style="position:absolute;left:13219;top:12334;height:420;width:1050;rotation:0f;" o:ole="f" fillcolor="#F79646" filled="t" o:preferrelative="t" stroked="t" coordorigin="0,0" coordsize="21600,21600">
              <v:stroke color="#F79646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救助金额</w:t>
                    </w:r>
                  </w:p>
                </w:txbxContent>
              </v:textbox>
            </v:shape>
            <v:shape id="Quad Arrow 19" o:spid="_x0000_s1038" type="#_x0000_t202" style="position:absolute;left:12424;top:13501;height:960;width:2569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6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经县级民政部门主要负责人签批，提交县级困难群众基本生活保障工作协调机构按照“一事一议”审定。</w:t>
                    </w:r>
                  </w:p>
                </w:txbxContent>
              </v:textbox>
            </v:shape>
            <v:shape id="Quad Arrow 20" o:spid="_x0000_s1039" type="#_x0000_t202" style="position:absolute;left:10527;top:8608;height:2238;width:1046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6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乡镇经办人员提出拟办意见，经分管负责人审核后，由主要负责人审批</w:t>
                    </w:r>
                  </w:p>
                </w:txbxContent>
              </v:textbox>
            </v:shape>
            <v:shape id="Quad Arrow 21" o:spid="_x0000_s1040" type="#_x0000_t202" style="position:absolute;left:11413;top:11230;height:1551;width:1076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6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县级民政部门应及时给予临时救助，并予以公示5天</w:t>
                    </w:r>
                  </w:p>
                </w:txbxContent>
              </v:textbox>
            </v:shape>
            <v:shape id="Quad Arrow 22" o:spid="_x0000_s1041" type="#_x0000_t202" style="position:absolute;left:11439;top:14776;height:525;width:1050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实施救助</w:t>
                    </w:r>
                  </w:p>
                </w:txbxContent>
              </v:textbox>
            </v:shape>
            <v:shape id="Quad Arrow 23" o:spid="_x0000_s1042" type="#_x0000_t202" style="position:absolute;left:6529;top:5830;height:813;width:253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申请或急难事件发生地的乡镇或县级民政部门发现急难情况</w:t>
                    </w:r>
                  </w:p>
                </w:txbxContent>
              </v:textbox>
            </v:shape>
            <v:shape id="Quad Arrow 24" o:spid="_x0000_s1043" type="#_x0000_t202" style="position:absolute;left:7013;top:6985;height:510;width:151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入户核实情况</w:t>
                    </w:r>
                  </w:p>
                </w:txbxContent>
              </v:textbox>
            </v:shape>
            <v:shape id="Quad Arrow 25" o:spid="_x0000_s1044" type="#_x0000_t202" style="position:absolute;left:5479;top:7981;height:435;width:1050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终止程序</w:t>
                    </w:r>
                  </w:p>
                </w:txbxContent>
              </v:textbox>
            </v:shape>
            <v:shape id="Quad Arrow 26" o:spid="_x0000_s1045" type="#_x0000_t202" style="position:absolute;left:7013;top:8038;height:510;width:151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救助金额</w:t>
                    </w:r>
                  </w:p>
                </w:txbxContent>
              </v:textbox>
            </v:shape>
            <v:shape id="Quad Arrow 27" o:spid="_x0000_s1046" type="#_x0000_t202" style="position:absolute;left:5479;top:9346;height:720;width:106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6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乡镇负责审批</w:t>
                    </w:r>
                  </w:p>
                </w:txbxContent>
              </v:textbox>
            </v:shape>
            <v:shape id="Quad Arrow 28" o:spid="_x0000_s1047" type="#_x0000_t202" style="position:absolute;left:6698;top:10066;height:1092;width:1170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6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县级民政部门负责审批并施行救助</w:t>
                    </w:r>
                  </w:p>
                </w:txbxContent>
              </v:textbox>
            </v:shape>
            <v:shape id="Quad Arrow 29" o:spid="_x0000_s1048" type="#_x0000_t202" style="position:absolute;left:6698;top:12460;height:573;width:1170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实施救助</w:t>
                    </w:r>
                  </w:p>
                </w:txbxContent>
              </v:textbox>
            </v:shape>
            <v:shape id="Quad Arrow 31" o:spid="_x0000_s1049" type="#_x0000_t202" style="position:absolute;left:8224;top:10396;height:1350;width:1815;rotation:0f;" o:ole="f" fillcolor="#F79646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4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经县级民政部门主要负责人签批</w:t>
                    </w: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后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，提交县级困难群众基本生活保障工作协调机构按照“一事一议”审定。</w:t>
                    </w:r>
                  </w:p>
                </w:txbxContent>
              </v:textbox>
            </v:shape>
            <v:shape id="Straight Connector 42" o:spid="_x0000_s1050" type="#_x0000_t32" style="position:absolute;left:11843;top:7153;height:342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Quad Arrow 43" o:spid="_x0000_s1051" type="#_x0000_t202" style="position:absolute;left:13069;top:7453;height:378;width:1200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符合条件</w:t>
                    </w:r>
                  </w:p>
                </w:txbxContent>
              </v:textbox>
            </v:shape>
            <v:shape id="Quad Arrow 48" o:spid="_x0000_s1052" type="#_x0000_t202" style="position:absolute;left:8033;top:8968;height:717;width:1200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6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在1.5万元以上5万元以下</w:t>
                    </w:r>
                  </w:p>
                </w:txbxContent>
              </v:textbox>
            </v:shape>
            <v:shape id="Quad Arrow 55" o:spid="_x0000_s1053" type="#_x0000_t202" style="position:absolute;left:5858;top:6940;height:378;width:1200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不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符合条件</w:t>
                    </w:r>
                  </w:p>
                </w:txbxContent>
              </v:textbox>
            </v:shape>
            <v:shape id="Quad Arrow 56" o:spid="_x0000_s1054" type="#_x0000_t202" style="position:absolute;left:13159;top:12754;height:567;width:1305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2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在1.5万元以上5万元以下</w:t>
                    </w:r>
                  </w:p>
                </w:txbxContent>
              </v:textbox>
            </v:shape>
            <v:shape id="Straight Connector 67" o:spid="_x0000_s1055" type="#_x0000_t32" style="position:absolute;left:5948;top:8869;height:0;width:184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Quad Arrow 69" o:spid="_x0000_s1056" type="#_x0000_t202" style="position:absolute;left:6645;top:9031;height:682;width:1148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6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在1.5万元（含）以内</w:t>
                    </w:r>
                  </w:p>
                </w:txbxContent>
              </v:textbox>
            </v:shape>
            <v:shape id="Straight Connector 73" o:spid="_x0000_s1057" type="#_x0000_t32" style="position:absolute;left:5949;top:10066;height:2688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traight Connector 77" o:spid="_x0000_s1058" type="#_x0000_t32" style="position:absolute;left:7868;top:12754;flip:x;height:27;width:1245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Quad Arrow 83" o:spid="_x0000_s1059" type="#_x0000_t202" style="position:absolute;left:6015;top:8521;height:682;width:1148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 w:val="0"/>
                      <w:wordWrap/>
                      <w:adjustRightInd/>
                      <w:snapToGrid/>
                      <w:spacing w:line="260" w:lineRule="exact"/>
                      <w:jc w:val="center"/>
                      <w:textAlignment w:va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在</w:t>
                    </w:r>
                    <w:r>
                      <w:rPr>
                        <w:rFonts w:hint="eastAsia"/>
                        <w:sz w:val="15"/>
                        <w:szCs w:val="15"/>
                        <w:lang w:val="en-US" w:eastAsia="zh-CN"/>
                      </w:rPr>
                      <w:t>2000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元（含）以内</w:t>
                    </w:r>
                  </w:p>
                </w:txbxContent>
              </v:textbox>
            </v:shape>
            <v:shape id="Quad Arrow 84" o:spid="_x0000_s1060" type="#_x0000_t202" style="position:absolute;left:12394;top:12046;height:723;width:1379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 w:val="0"/>
                      <w:wordWrap/>
                      <w:adjustRightInd/>
                      <w:snapToGrid/>
                      <w:spacing w:line="260" w:lineRule="exact"/>
                      <w:jc w:val="center"/>
                      <w:textAlignment w:val="auto"/>
                      <w:rPr>
                        <w:rFonts w:hint="eastAsia" w:eastAsia="宋体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在</w:t>
                    </w:r>
                    <w:r>
                      <w:rPr>
                        <w:rFonts w:hint="eastAsia"/>
                        <w:sz w:val="15"/>
                        <w:szCs w:val="15"/>
                        <w:lang w:val="en-US" w:eastAsia="zh-CN"/>
                      </w:rPr>
                      <w:t>1.5万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元</w:t>
                    </w:r>
                    <w:r>
                      <w:rPr>
                        <w:rFonts w:hint="eastAsia"/>
                        <w:sz w:val="15"/>
                        <w:szCs w:val="15"/>
                        <w:lang w:val="en-US" w:eastAsia="zh-CN"/>
                      </w:rPr>
                      <w:t>(含）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以</w:t>
                    </w: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下</w:t>
                    </w:r>
                  </w:p>
                </w:txbxContent>
              </v:textbox>
            </v:shape>
          </v:group>
        </w:pict>
      </w:r>
    </w:p>
    <w:p/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8" o:spid="_x0000_s1062" type="#_x0000_t32" style="position:absolute;left:0;margin-left:256.7pt;margin-top:3.45pt;height:14.25pt;width:0.05pt;rotation:0f;z-index:25169510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33" o:spid="_x0000_s1063" type="#_x0000_t32" style="position:absolute;left:0;margin-left:403.7pt;margin-top:2.1pt;height:12.75pt;width:0.0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34" o:spid="_x0000_s1064" type="#_x0000_t32" style="position:absolute;left:0;margin-left:112.7pt;margin-top:2.1pt;height:0.05pt;width:291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32" o:spid="_x0000_s1065" type="#_x0000_t32" style="position:absolute;left:0;margin-left:112.7pt;margin-top:2.1pt;height:17.1pt;width:0.0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36" o:spid="_x0000_s1066" type="#_x0000_t32" style="position:absolute;left:0;margin-left:409.5pt;margin-top:9.15pt;height:17.1pt;width:0.05pt;rotation:0f;z-index:25166233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35" o:spid="_x0000_s1067" type="#_x0000_t32" style="position:absolute;left:0;margin-left:112.7pt;margin-top:13.5pt;height:17.1pt;width:0.0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37" o:spid="_x0000_s1068" type="#_x0000_t32" style="position:absolute;left:0;margin-left:409.5pt;margin-top:3.75pt;height:17.1pt;width:0.05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38" o:spid="_x0000_s1069" type="#_x0000_t32" style="position:absolute;left:0;margin-left:112.7pt;margin-top:8.85pt;height:17.1pt;width:0.05pt;rotation:0f;z-index:25166438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Quad Arrow 39" o:spid="_x0000_s1070" type="#_x0000_t202" style="position:absolute;left:0;margin-left:310.5pt;margin-top:0.9pt;height:23.25pt;width:60pt;rotation:0f;z-index:2516654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不符合条件</w:t>
                  </w:r>
                </w:p>
              </w:txbxContent>
            </v:textbox>
          </v:shape>
        </w:pict>
      </w:r>
    </w:p>
    <w:p>
      <w:pPr>
        <w:tabs>
          <w:tab w:val="left" w:pos="4905"/>
        </w:tabs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41" o:spid="_x0000_s1071" type="#_x0000_t32" style="position:absolute;left:0;margin-left:316.7pt;margin-top:2.45pt;height:0.05pt;width:53.8pt;rotation:0f;z-index:2516664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6" o:spid="_x0000_s1072" type="#_x0000_t32" style="position:absolute;left:0;margin-left:23pt;margin-top:283.2pt;height:0.05pt;width:37.45pt;rotation:0f;z-index:2516940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Quad Arrow 47" o:spid="_x0000_s1073" type="#_x0000_t202" style="position:absolute;left:0;margin-left:255.85pt;margin-top:47.4pt;height:18.9pt;width:85.4pt;rotation:0f;z-index:2516705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在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sz w:val="15"/>
                      <w:szCs w:val="15"/>
                    </w:rPr>
                    <w:t>000元</w:t>
                  </w: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（含）</w:t>
                  </w:r>
                  <w:r>
                    <w:rPr>
                      <w:rFonts w:hint="eastAsia"/>
                      <w:sz w:val="15"/>
                      <w:szCs w:val="15"/>
                    </w:rPr>
                    <w:t>以内</w:t>
                  </w:r>
                </w:p>
              </w:txbxContent>
            </v:textbox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80" o:spid="_x0000_s1074" type="#_x0000_t32" style="position:absolute;left:0;flip:x;margin-left:347.15pt;margin-top:246.3pt;height:0.05pt;width:16.3pt;rotation:0f;z-index:2516971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81" o:spid="_x0000_s1075" type="#_x0000_t32" style="position:absolute;left:0;margin-left:363.45pt;margin-top:274.8pt;height:0.05pt;width:20.55pt;rotation:0f;z-index:25169817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9" o:spid="_x0000_s1076" type="#_x0000_t32" style="position:absolute;left:0;margin-left:363.45pt;margin-top:246.3pt;height:28.5pt;width:0.05pt;rotation:0f;z-index:25169612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50" o:spid="_x0000_s1077" type="#_x0000_t32" style="position:absolute;left:0;margin-left:274.9pt;margin-top:58.8pt;height:17.1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2" o:spid="_x0000_s1078" type="#_x0000_t32" style="position:absolute;left:0;margin-left:279.2pt;margin-top:399.3pt;height:0.75pt;width:16.5pt;rotation:0f;z-index:25168281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1" o:spid="_x0000_s1079" type="#_x0000_t32" style="position:absolute;left:0;margin-left:274.9pt;margin-top:188.55pt;height:211.5pt;width:4.3pt;rotation:0f;z-index:25168179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5" o:spid="_x0000_s1080" type="#_x0000_t32" style="position:absolute;left:0;margin-left:86.45pt;margin-top:203.4pt;height:65.1pt;width:0.05pt;rotation:0f;z-index:2516930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4" o:spid="_x0000_s1081" type="#_x0000_t32" style="position:absolute;left:0;margin-left:178.75pt;margin-top:232.8pt;height:50.4pt;width:0.05pt;rotation:0f;z-index:2516920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2" o:spid="_x0000_s1082" type="#_x0000_t32" style="position:absolute;left:0;margin-left:20.45pt;margin-top:88.95pt;height:27.45pt;width:0.05pt;rotation:0f;z-index:25169100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1" o:spid="_x0000_s1083" type="#_x0000_t32" style="position:absolute;left:0;margin-left:178.7pt;margin-top:112.8pt;height:52.5pt;width:0.05pt;rotation:0f;z-index:25168998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70" o:spid="_x0000_s1084" type="#_x0000_t32" style="position:absolute;left:0;margin-left:86.45pt;margin-top:112.8pt;height:36pt;width:0.05pt;rotation:0f;z-index:2516889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8" o:spid="_x0000_s1085" type="#_x0000_t32" style="position:absolute;left:0;margin-left:86.45pt;margin-top:112.8pt;height:0.05pt;width:92.25pt;rotation:0f;z-index:25168793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5" o:spid="_x0000_s1086" type="#_x0000_t32" style="position:absolute;left:0;margin-left:112.7pt;margin-top:72.9pt;height:39pt;width:0.05pt;rotation:0f;z-index:25168588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6" o:spid="_x0000_s1087" type="#_x0000_t32" style="position:absolute;left:0;margin-left:112.7pt;margin-top:20.25pt;height:29.4pt;width:0.05pt;rotation:0f;z-index:2516869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4" o:spid="_x0000_s1088" type="#_x0000_t32" style="position:absolute;left:0;margin-left:20.45pt;margin-top:8.55pt;height:36pt;width:0.05pt;rotation:0f;z-index:2516848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3" o:spid="_x0000_s1089" type="#_x0000_t32" style="position:absolute;left:0;flip:x;margin-left:20.45pt;margin-top:8.55pt;height:0.05pt;width:53.25pt;rotation:0f;z-index:25168384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59" o:spid="_x0000_s1090" type="#_x0000_t32" style="position:absolute;left:0;flip:x;margin-left:349.3pt;margin-top:399.3pt;height:0.05pt;width:65.65pt;rotation:0f;z-index:25167974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58" o:spid="_x0000_s1091" type="#_x0000_t32" style="position:absolute;left:0;margin-left:414.95pt;margin-top:368.55pt;height:30.75pt;width:0.05pt;rotation:0f;z-index:25167872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60" o:spid="_x0000_s1092" type="#_x0000_t32" style="position:absolute;left:0;margin-left:321.2pt;margin-top:284.55pt;height:99.75pt;width:0.05pt;rotation:0f;z-index:25168076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57" o:spid="_x0000_s1093" type="#_x0000_t32" style="position:absolute;left:0;margin-left:409.5pt;margin-top:284.55pt;height:36pt;width:0.05pt;rotation:0f;z-index:25167769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Quad Arrow 54" o:spid="_x0000_s1094" type="#_x0000_t202" style="position:absolute;left:0;margin-left:381pt;margin-top:232.8pt;height:18.9pt;width:55.5pt;rotation:0f;z-index:25167667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53" o:spid="_x0000_s1095" type="#_x0000_t32" style="position:absolute;left:0;margin-left:409.5pt;margin-top:232.8pt;height:29.4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52" o:spid="_x0000_s1096" type="#_x0000_t32" style="position:absolute;left:0;margin-left:409.5pt;margin-top:194.7pt;height:17.1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51" o:spid="_x0000_s1097" type="#_x0000_t32" style="position:absolute;left:0;margin-left:409.5pt;margin-top:136.95pt;height:17.1pt;width:0.0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49" o:spid="_x0000_s1098" type="#_x0000_t32" style="position:absolute;left:0;margin-left:338.25pt;margin-top:57.35pt;height:0.05pt;width:38.2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Quad Arrow 46" o:spid="_x0000_s1099" type="#_x0000_t202" style="position:absolute;left:0;margin-left:381pt;margin-top:70.05pt;height:18.9pt;width:65.25pt;rotation:0f;z-index:25166950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在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sz w:val="15"/>
                      <w:szCs w:val="15"/>
                    </w:rPr>
                    <w:t>000元以上</w: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45" o:spid="_x0000_s1100" type="#_x0000_t32" style="position:absolute;left:0;margin-left:409.5pt;margin-top:70.05pt;height:29.4pt;width:0.0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44" o:spid="_x0000_s1101" type="#_x0000_t32" style="position:absolute;left:0;margin-left:409.5pt;margin-top:15.15pt;height:29.4pt;width:0.0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</w:p>
    <w:sectPr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78"/>
        <o:r id="V:Rule2" type="connector" idref="#Straight Connector 33"/>
        <o:r id="V:Rule3" type="connector" idref="#Straight Connector 34"/>
        <o:r id="V:Rule4" type="connector" idref="#Straight Connector 32"/>
        <o:r id="V:Rule5" type="connector" idref="#Straight Connector 36"/>
        <o:r id="V:Rule6" type="connector" idref="#Straight Connector 35"/>
        <o:r id="V:Rule7" type="connector" idref="#Straight Connector 37"/>
        <o:r id="V:Rule8" type="connector" idref="#Straight Connector 38"/>
        <o:r id="V:Rule9" type="connector" idref="#Straight Connector 41"/>
        <o:r id="V:Rule10" type="connector" idref="#Straight Connector 76"/>
        <o:r id="V:Rule11" type="connector" idref="#Straight Connector 80"/>
        <o:r id="V:Rule12" type="connector" idref="#Straight Connector 81"/>
        <o:r id="V:Rule13" type="connector" idref="#Straight Connector 79"/>
        <o:r id="V:Rule14" type="connector" idref="#Straight Connector 50"/>
        <o:r id="V:Rule15" type="connector" idref="#Straight Connector 62"/>
        <o:r id="V:Rule16" type="connector" idref="#Straight Connector 61"/>
        <o:r id="V:Rule17" type="connector" idref="#Straight Connector 75"/>
        <o:r id="V:Rule18" type="connector" idref="#Straight Connector 74"/>
        <o:r id="V:Rule19" type="connector" idref="#Straight Connector 72"/>
        <o:r id="V:Rule20" type="connector" idref="#Straight Connector 71"/>
        <o:r id="V:Rule21" type="connector" idref="#Straight Connector 70"/>
        <o:r id="V:Rule22" type="connector" idref="#Straight Connector 68"/>
        <o:r id="V:Rule23" type="connector" idref="#Straight Connector 65"/>
        <o:r id="V:Rule24" type="connector" idref="#Straight Connector 66"/>
        <o:r id="V:Rule25" type="connector" idref="#Straight Connector 64"/>
        <o:r id="V:Rule26" type="connector" idref="#Straight Connector 63"/>
        <o:r id="V:Rule27" type="connector" idref="#Straight Connector 59"/>
        <o:r id="V:Rule28" type="connector" idref="#Straight Connector 58"/>
        <o:r id="V:Rule29" type="connector" idref="#Straight Connector 60"/>
        <o:r id="V:Rule30" type="connector" idref="#Straight Connector 57"/>
        <o:r id="V:Rule31" type="connector" idref="#Straight Connector 53"/>
        <o:r id="V:Rule32" type="connector" idref="#Straight Connector 52"/>
        <o:r id="V:Rule33" type="connector" idref="#Straight Connector 51"/>
        <o:r id="V:Rule34" type="connector" idref="#Straight Connector 49"/>
        <o:r id="V:Rule35" type="connector" idref="#Straight Connector 45"/>
        <o:r id="V:Rule36" type="connector" idref="#Straight Connector 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qFormat/>
    <w:uiPriority w:val="99"/>
    <w:rPr>
      <w:sz w:val="18"/>
      <w:szCs w:val="18"/>
    </w:rPr>
  </w:style>
  <w:style w:type="character" w:customStyle="1" w:styleId="4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em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2020-11-10T12:20:00Z</dcterms:created>
  <dc:creator>Administrator</dc:creator>
  <cp:lastModifiedBy>未定义</cp:lastModifiedBy>
  <dcterms:modified xsi:type="dcterms:W3CDTF">2020-12-01T02:03:20Z</dcterms:modified>
  <dc:title>附件3-1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