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融安县政协办公室</w:t>
      </w:r>
      <w:r>
        <w:rPr>
          <w:rFonts w:hint="eastAsia" w:ascii="仿宋_GB2312" w:eastAsia="仿宋_GB2312"/>
          <w:b/>
          <w:sz w:val="32"/>
          <w:szCs w:val="32"/>
        </w:rPr>
        <w:t>2019年部门决算报表</w:t>
      </w: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tbl>
      <w:tblPr>
        <w:tblStyle w:val="4"/>
        <w:tblW w:w="0" w:type="auto"/>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583.56</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463.55</w:t>
            </w:r>
          </w:p>
        </w:tc>
      </w:tr>
      <w:tr>
        <w:tblPrEx>
          <w:tblCellMar>
            <w:top w:w="0" w:type="dxa"/>
            <w:left w:w="108" w:type="dxa"/>
            <w:bottom w:w="0" w:type="dxa"/>
            <w:right w:w="108" w:type="dxa"/>
          </w:tblCellMar>
        </w:tblPrEx>
        <w:trPr>
          <w:trHeight w:val="9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jc w:val="left"/>
              <w:rPr>
                <w:rFonts w:hint="eastAsia" w:ascii="宋体" w:hAnsi="宋体" w:cs="Arial"/>
                <w:color w:val="000000"/>
                <w:sz w:val="22"/>
                <w:szCs w:val="22"/>
              </w:rPr>
            </w:pPr>
            <w:r>
              <w:rPr>
                <w:rFonts w:hint="eastAsia" w:cs="Arial"/>
                <w:color w:val="000000"/>
                <w:sz w:val="22"/>
                <w:szCs w:val="22"/>
              </w:rPr>
              <w:t>二、社会保障和就业支出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55.22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jc w:val="left"/>
              <w:rPr>
                <w:rFonts w:hint="eastAsia" w:ascii="宋体" w:hAnsi="宋体" w:cs="Arial"/>
                <w:color w:val="000000"/>
                <w:sz w:val="22"/>
                <w:szCs w:val="22"/>
              </w:rPr>
            </w:pPr>
            <w:r>
              <w:rPr>
                <w:rFonts w:hint="eastAsia" w:cs="Arial"/>
                <w:color w:val="000000"/>
                <w:sz w:val="22"/>
                <w:szCs w:val="22"/>
              </w:rPr>
              <w:t>三、医疗卫生与计划生育支出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40.84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jc w:val="left"/>
              <w:rPr>
                <w:rFonts w:hint="eastAsia" w:ascii="宋体" w:hAnsi="宋体" w:cs="Arial"/>
                <w:color w:val="000000"/>
                <w:sz w:val="22"/>
                <w:szCs w:val="22"/>
              </w:rPr>
            </w:pPr>
            <w:r>
              <w:rPr>
                <w:rFonts w:hint="eastAsia" w:cs="Arial"/>
                <w:color w:val="000000"/>
                <w:sz w:val="22"/>
                <w:szCs w:val="22"/>
              </w:rPr>
              <w:t>四、住房保障支出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23.95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bCs/>
                <w:color w:val="000000"/>
                <w:kern w:val="0"/>
                <w:sz w:val="22"/>
                <w:szCs w:val="22"/>
              </w:rPr>
              <w:t>583.56</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583.56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583.56</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583.56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w:t>
      </w:r>
    </w:p>
    <w:p>
      <w:pPr>
        <w:rPr>
          <w:rFonts w:hint="eastAsia" w:ascii="方正小标宋简体" w:hAnsi="宋体" w:eastAsia="方正小标宋简体" w:cs="宋体"/>
          <w:kern w:val="0"/>
          <w:sz w:val="36"/>
          <w:szCs w:val="36"/>
        </w:rPr>
      </w:pPr>
    </w:p>
    <w:tbl>
      <w:tblPr>
        <w:tblStyle w:val="4"/>
        <w:tblW w:w="13918" w:type="dxa"/>
        <w:tblInd w:w="82" w:type="dxa"/>
        <w:tblLayout w:type="autofit"/>
        <w:tblCellMar>
          <w:top w:w="0" w:type="dxa"/>
          <w:left w:w="108" w:type="dxa"/>
          <w:bottom w:w="0" w:type="dxa"/>
          <w:right w:w="108" w:type="dxa"/>
        </w:tblCellMar>
      </w:tblPr>
      <w:tblGrid>
        <w:gridCol w:w="436"/>
        <w:gridCol w:w="436"/>
        <w:gridCol w:w="436"/>
        <w:gridCol w:w="3792"/>
        <w:gridCol w:w="1163"/>
        <w:gridCol w:w="1134"/>
        <w:gridCol w:w="1134"/>
        <w:gridCol w:w="1134"/>
        <w:gridCol w:w="1134"/>
        <w:gridCol w:w="1276"/>
        <w:gridCol w:w="1843"/>
      </w:tblGrid>
      <w:tr>
        <w:tblPrEx>
          <w:tblCellMar>
            <w:top w:w="0" w:type="dxa"/>
            <w:left w:w="108" w:type="dxa"/>
            <w:bottom w:w="0" w:type="dxa"/>
            <w:right w:w="108" w:type="dxa"/>
          </w:tblCellMar>
        </w:tblPrEx>
        <w:trPr>
          <w:trHeight w:val="390" w:hRule="atLeast"/>
        </w:trPr>
        <w:tc>
          <w:tcPr>
            <w:tcW w:w="13918" w:type="dxa"/>
            <w:gridSpan w:val="11"/>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表二：收入决算表</w:t>
            </w:r>
          </w:p>
        </w:tc>
      </w:tr>
      <w:tr>
        <w:tblPrEx>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9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6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财决批复02表</w:t>
            </w:r>
          </w:p>
        </w:tc>
      </w:tr>
      <w:tr>
        <w:tblPrEx>
          <w:tblCellMar>
            <w:top w:w="0" w:type="dxa"/>
            <w:left w:w="108" w:type="dxa"/>
            <w:bottom w:w="0" w:type="dxa"/>
            <w:right w:w="108" w:type="dxa"/>
          </w:tblCellMar>
        </w:tblPrEx>
        <w:trPr>
          <w:trHeight w:val="255" w:hRule="atLeast"/>
        </w:trPr>
        <w:tc>
          <w:tcPr>
            <w:tcW w:w="510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部门：政协融安县委员会</w:t>
            </w:r>
          </w:p>
        </w:tc>
        <w:tc>
          <w:tcPr>
            <w:tcW w:w="116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792"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6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276"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84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6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6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6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9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63"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76"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843"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379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583.56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583.56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政协事务</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41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财政对其他社会保险基金的补助</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财政对工伤保险基金的补助</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财政对生育保险基金的补助</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jc w:val="center"/>
        <w:rPr>
          <w:rFonts w:hint="eastAsia" w:ascii="方正小标宋简体" w:hAnsi="宋体" w:eastAsia="方正小标宋简体" w:cs="宋体"/>
          <w:kern w:val="0"/>
          <w:sz w:val="36"/>
          <w:szCs w:val="36"/>
        </w:rPr>
      </w:pPr>
    </w:p>
    <w:tbl>
      <w:tblPr>
        <w:tblStyle w:val="4"/>
        <w:tblW w:w="13918" w:type="dxa"/>
        <w:tblInd w:w="82" w:type="dxa"/>
        <w:tblLayout w:type="autofit"/>
        <w:tblCellMar>
          <w:top w:w="0" w:type="dxa"/>
          <w:left w:w="108" w:type="dxa"/>
          <w:bottom w:w="0" w:type="dxa"/>
          <w:right w:w="108" w:type="dxa"/>
        </w:tblCellMar>
      </w:tblPr>
      <w:tblGrid>
        <w:gridCol w:w="436"/>
        <w:gridCol w:w="436"/>
        <w:gridCol w:w="436"/>
        <w:gridCol w:w="3792"/>
        <w:gridCol w:w="2297"/>
        <w:gridCol w:w="1134"/>
        <w:gridCol w:w="1134"/>
        <w:gridCol w:w="1134"/>
        <w:gridCol w:w="1276"/>
        <w:gridCol w:w="1843"/>
      </w:tblGrid>
      <w:tr>
        <w:tblPrEx>
          <w:tblCellMar>
            <w:top w:w="0" w:type="dxa"/>
            <w:left w:w="108" w:type="dxa"/>
            <w:bottom w:w="0" w:type="dxa"/>
            <w:right w:w="108" w:type="dxa"/>
          </w:tblCellMar>
        </w:tblPrEx>
        <w:trPr>
          <w:trHeight w:val="390" w:hRule="atLeast"/>
        </w:trPr>
        <w:tc>
          <w:tcPr>
            <w:tcW w:w="13918" w:type="dxa"/>
            <w:gridSpan w:val="10"/>
            <w:tcBorders>
              <w:top w:val="nil"/>
              <w:left w:val="nil"/>
              <w:bottom w:val="nil"/>
              <w:right w:val="nil"/>
            </w:tcBorders>
            <w:shd w:val="clear" w:color="auto" w:fill="auto"/>
            <w:noWrap/>
            <w:vAlign w:val="bottom"/>
          </w:tcPr>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hint="eastAsia" w:ascii="宋体" w:hAnsi="宋体" w:cs="Arial"/>
                <w:color w:val="000000"/>
                <w:kern w:val="0"/>
                <w:sz w:val="30"/>
                <w:szCs w:val="30"/>
              </w:rPr>
            </w:pPr>
          </w:p>
          <w:p>
            <w:pPr>
              <w:widowControl/>
              <w:jc w:val="center"/>
              <w:rPr>
                <w:rFonts w:ascii="宋体" w:hAnsi="宋体" w:cs="Arial"/>
                <w:color w:val="000000"/>
                <w:kern w:val="0"/>
                <w:sz w:val="30"/>
                <w:szCs w:val="30"/>
              </w:rPr>
            </w:pPr>
            <w:r>
              <w:rPr>
                <w:rFonts w:hint="eastAsia" w:ascii="宋体" w:hAnsi="宋体" w:cs="Arial"/>
                <w:color w:val="000000"/>
                <w:kern w:val="0"/>
                <w:sz w:val="30"/>
                <w:szCs w:val="30"/>
              </w:rPr>
              <w:t>表三：支出决算批复表</w:t>
            </w:r>
          </w:p>
        </w:tc>
      </w:tr>
      <w:tr>
        <w:tblPrEx>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9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9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财决批复03表</w:t>
            </w:r>
          </w:p>
        </w:tc>
      </w:tr>
      <w:tr>
        <w:tblPrEx>
          <w:tblCellMar>
            <w:top w:w="0" w:type="dxa"/>
            <w:left w:w="108" w:type="dxa"/>
            <w:bottom w:w="0" w:type="dxa"/>
            <w:right w:w="108" w:type="dxa"/>
          </w:tblCellMar>
        </w:tblPrEx>
        <w:trPr>
          <w:trHeight w:val="255" w:hRule="atLeast"/>
        </w:trPr>
        <w:tc>
          <w:tcPr>
            <w:tcW w:w="510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部门：政协融安县委员会</w:t>
            </w:r>
          </w:p>
        </w:tc>
        <w:tc>
          <w:tcPr>
            <w:tcW w:w="229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792"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9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276"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84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22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22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9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229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84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9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97"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6"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843"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379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583.56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485.42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98.14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政协事务</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财政对其他社会保险基金的补助</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财政对工伤保险基金的补助</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财政对生育保险基金的补助</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9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2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4"/>
        <w:tblW w:w="0" w:type="auto"/>
        <w:jc w:val="center"/>
        <w:tblLayout w:type="fixed"/>
        <w:tblCellMar>
          <w:top w:w="0" w:type="dxa"/>
          <w:left w:w="108" w:type="dxa"/>
          <w:bottom w:w="0" w:type="dxa"/>
          <w:right w:w="108" w:type="dxa"/>
        </w:tblCellMar>
      </w:tblPr>
      <w:tblGrid>
        <w:gridCol w:w="3789"/>
        <w:gridCol w:w="945"/>
        <w:gridCol w:w="1246"/>
        <w:gridCol w:w="3372"/>
        <w:gridCol w:w="681"/>
        <w:gridCol w:w="1267"/>
        <w:gridCol w:w="1149"/>
        <w:gridCol w:w="1316"/>
      </w:tblGrid>
      <w:tr>
        <w:tblPrEx>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7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945"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945"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4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583.56</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463.55</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463.55</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46"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二、社会保障和就业支出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55.22</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55.22</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三、医疗卫生与计划生育支出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40.84</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40.84</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四、住房保障支出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23.95</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23.95</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583.56</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583.56</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46"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46"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46"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789"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4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4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583.56</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583.56</w:t>
            </w:r>
          </w:p>
        </w:tc>
      </w:tr>
    </w:tbl>
    <w:p>
      <w:pPr>
        <w:rPr>
          <w:rFonts w:hint="eastAsia"/>
        </w:rPr>
      </w:pPr>
      <w:r>
        <w:rPr>
          <w:rFonts w:hint="eastAsia"/>
        </w:rPr>
        <w:t>注：本表反映部门本年度一般公共预算财政拨款和政府性基金预算财政拨款的总收支和年末结转结余情况。</w:t>
      </w:r>
    </w:p>
    <w:p>
      <w:pPr>
        <w:jc w:val="center"/>
        <w:rPr>
          <w:rFonts w:hint="eastAsia" w:ascii="方正小标宋简体" w:hAnsi="宋体" w:eastAsia="方正小标宋简体" w:cs="宋体"/>
          <w:kern w:val="0"/>
          <w:sz w:val="36"/>
          <w:szCs w:val="36"/>
        </w:rPr>
      </w:pPr>
    </w:p>
    <w:p>
      <w:pPr>
        <w:rPr>
          <w:rFonts w:hint="eastAsia"/>
        </w:rPr>
      </w:pPr>
    </w:p>
    <w:tbl>
      <w:tblPr>
        <w:tblStyle w:val="4"/>
        <w:tblW w:w="12888" w:type="dxa"/>
        <w:tblInd w:w="90" w:type="dxa"/>
        <w:tblLayout w:type="autofit"/>
        <w:tblCellMar>
          <w:top w:w="0" w:type="dxa"/>
          <w:left w:w="108" w:type="dxa"/>
          <w:bottom w:w="0" w:type="dxa"/>
          <w:right w:w="108" w:type="dxa"/>
        </w:tblCellMar>
      </w:tblPr>
      <w:tblGrid>
        <w:gridCol w:w="408"/>
        <w:gridCol w:w="409"/>
        <w:gridCol w:w="409"/>
        <w:gridCol w:w="3337"/>
        <w:gridCol w:w="605"/>
        <w:gridCol w:w="605"/>
        <w:gridCol w:w="605"/>
        <w:gridCol w:w="800"/>
        <w:gridCol w:w="800"/>
        <w:gridCol w:w="703"/>
        <w:gridCol w:w="800"/>
        <w:gridCol w:w="800"/>
        <w:gridCol w:w="703"/>
        <w:gridCol w:w="605"/>
        <w:gridCol w:w="605"/>
        <w:gridCol w:w="605"/>
        <w:gridCol w:w="1285"/>
      </w:tblGrid>
      <w:tr>
        <w:tblPrEx>
          <w:tblCellMar>
            <w:top w:w="0" w:type="dxa"/>
            <w:left w:w="108" w:type="dxa"/>
            <w:bottom w:w="0" w:type="dxa"/>
            <w:right w:w="108" w:type="dxa"/>
          </w:tblCellMar>
        </w:tblPrEx>
        <w:trPr>
          <w:trHeight w:val="390" w:hRule="atLeast"/>
        </w:trPr>
        <w:tc>
          <w:tcPr>
            <w:tcW w:w="12888" w:type="dxa"/>
            <w:gridSpan w:val="17"/>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表五：一般公共预算财政拨款收入支出决算表</w:t>
            </w:r>
          </w:p>
        </w:tc>
      </w:tr>
      <w:tr>
        <w:tblPrEx>
          <w:tblCellMar>
            <w:top w:w="0" w:type="dxa"/>
            <w:left w:w="108" w:type="dxa"/>
            <w:bottom w:w="0" w:type="dxa"/>
            <w:right w:w="108" w:type="dxa"/>
          </w:tblCellMar>
        </w:tblPrEx>
        <w:trPr>
          <w:trHeight w:val="255" w:hRule="atLeast"/>
        </w:trPr>
        <w:tc>
          <w:tcPr>
            <w:tcW w:w="27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4582"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部门：政协融安县委员会</w:t>
            </w: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80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776"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40"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995"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1995"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876" w:type="dxa"/>
            <w:gridSpan w:val="4"/>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08" w:hRule="atLeast"/>
        </w:trPr>
        <w:tc>
          <w:tcPr>
            <w:tcW w:w="8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377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基本支出结转</w:t>
            </w: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项目支出结转和结余</w:t>
            </w:r>
          </w:p>
        </w:tc>
        <w:tc>
          <w:tcPr>
            <w:tcW w:w="70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0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70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0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基本支出结转</w:t>
            </w:r>
          </w:p>
        </w:tc>
        <w:tc>
          <w:tcPr>
            <w:tcW w:w="1916" w:type="dxa"/>
            <w:gridSpan w:val="2"/>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项目支出结转和结余</w:t>
            </w:r>
          </w:p>
        </w:tc>
      </w:tr>
      <w:tr>
        <w:tblPrEx>
          <w:tblCellMar>
            <w:top w:w="0" w:type="dxa"/>
            <w:left w:w="108" w:type="dxa"/>
            <w:bottom w:w="0" w:type="dxa"/>
            <w:right w:w="108" w:type="dxa"/>
          </w:tblCellMar>
        </w:tblPrEx>
        <w:trPr>
          <w:trHeight w:val="312" w:hRule="atLeast"/>
        </w:trPr>
        <w:tc>
          <w:tcPr>
            <w:tcW w:w="8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377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591"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591"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4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w:t>
            </w:r>
          </w:p>
        </w:tc>
        <w:tc>
          <w:tcPr>
            <w:tcW w:w="143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项目支出结余</w:t>
            </w:r>
          </w:p>
        </w:tc>
      </w:tr>
      <w:tr>
        <w:tblPrEx>
          <w:tblCellMar>
            <w:top w:w="0" w:type="dxa"/>
            <w:left w:w="108" w:type="dxa"/>
            <w:bottom w:w="0" w:type="dxa"/>
            <w:right w:w="108" w:type="dxa"/>
          </w:tblCellMar>
        </w:tblPrEx>
        <w:trPr>
          <w:trHeight w:val="615" w:hRule="atLeast"/>
        </w:trPr>
        <w:tc>
          <w:tcPr>
            <w:tcW w:w="8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77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43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72"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268"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26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76"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59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59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4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4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r>
      <w:tr>
        <w:tblPrEx>
          <w:tblCellMar>
            <w:top w:w="0" w:type="dxa"/>
            <w:left w:w="108" w:type="dxa"/>
            <w:bottom w:w="0" w:type="dxa"/>
            <w:right w:w="108" w:type="dxa"/>
          </w:tblCellMar>
        </w:tblPrEx>
        <w:trPr>
          <w:trHeight w:val="308" w:hRule="atLeast"/>
        </w:trPr>
        <w:tc>
          <w:tcPr>
            <w:tcW w:w="27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268"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26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szCs w:val="22"/>
              </w:rPr>
            </w:pPr>
          </w:p>
        </w:tc>
        <w:tc>
          <w:tcPr>
            <w:tcW w:w="3776"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583.56</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485.42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98.14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583.56</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485.42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98.14</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政协事务</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463.55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98.14</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365.41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2010202</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75.42</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2010203</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22.72</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财政对其他社会保险基金的补助</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2082702</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财政对工伤保险基金的补助</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0.27</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2082703</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财政对生育保险基金的补助</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0.52</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40.84</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5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jc w:val="center"/>
        <w:rPr>
          <w:rFonts w:hint="eastAsia"/>
        </w:rPr>
        <w:sectPr>
          <w:footerReference r:id="rId9" w:type="default"/>
          <w:footerReference r:id="rId10" w:type="even"/>
          <w:pgSz w:w="16838" w:h="11906" w:orient="landscape"/>
          <w:pgMar w:top="1134" w:right="1440" w:bottom="1797" w:left="1440" w:header="851" w:footer="992" w:gutter="0"/>
          <w:cols w:space="720" w:num="1"/>
          <w:docGrid w:type="lines" w:linePitch="312" w:charSpace="0"/>
        </w:sectPr>
      </w:pPr>
    </w:p>
    <w:tbl>
      <w:tblPr>
        <w:tblStyle w:val="4"/>
        <w:tblW w:w="16491" w:type="dxa"/>
        <w:tblInd w:w="90" w:type="dxa"/>
        <w:tblLayout w:type="autofit"/>
        <w:tblCellMar>
          <w:top w:w="0" w:type="dxa"/>
          <w:left w:w="108" w:type="dxa"/>
          <w:bottom w:w="0" w:type="dxa"/>
          <w:right w:w="108" w:type="dxa"/>
        </w:tblCellMar>
      </w:tblPr>
      <w:tblGrid>
        <w:gridCol w:w="766"/>
        <w:gridCol w:w="1662"/>
        <w:gridCol w:w="1276"/>
        <w:gridCol w:w="414"/>
        <w:gridCol w:w="236"/>
        <w:gridCol w:w="342"/>
        <w:gridCol w:w="508"/>
        <w:gridCol w:w="1051"/>
        <w:gridCol w:w="1418"/>
        <w:gridCol w:w="1472"/>
        <w:gridCol w:w="512"/>
        <w:gridCol w:w="254"/>
        <w:gridCol w:w="766"/>
        <w:gridCol w:w="2808"/>
        <w:gridCol w:w="1408"/>
        <w:gridCol w:w="1598"/>
      </w:tblGrid>
      <w:tr>
        <w:tblPrEx>
          <w:tblCellMar>
            <w:top w:w="0" w:type="dxa"/>
            <w:left w:w="108" w:type="dxa"/>
            <w:bottom w:w="0" w:type="dxa"/>
            <w:right w:w="108" w:type="dxa"/>
          </w:tblCellMar>
        </w:tblPrEx>
        <w:trPr>
          <w:trHeight w:val="390" w:hRule="atLeast"/>
        </w:trPr>
        <w:tc>
          <w:tcPr>
            <w:tcW w:w="16491" w:type="dxa"/>
            <w:gridSpan w:val="16"/>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表六：一般公共预算财政拨款基本支出决算表</w:t>
            </w:r>
          </w:p>
        </w:tc>
      </w:tr>
      <w:tr>
        <w:tblPrEx>
          <w:tblCellMar>
            <w:top w:w="0" w:type="dxa"/>
            <w:left w:w="108" w:type="dxa"/>
            <w:bottom w:w="0" w:type="dxa"/>
            <w:right w:w="108" w:type="dxa"/>
          </w:tblCellMar>
        </w:tblPrEx>
        <w:trPr>
          <w:trHeight w:val="255" w:hRule="atLeast"/>
        </w:trPr>
        <w:tc>
          <w:tcPr>
            <w:tcW w:w="4118"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部门：政协融安县委员会</w:t>
            </w:r>
          </w:p>
        </w:tc>
        <w:tc>
          <w:tcPr>
            <w:tcW w:w="2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5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41"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21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ind w:right="360"/>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370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12787" w:type="dxa"/>
            <w:gridSpan w:val="1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1662"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7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992" w:type="dxa"/>
            <w:gridSpan w:val="3"/>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1559" w:type="dxa"/>
            <w:gridSpan w:val="2"/>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18"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1984" w:type="dxa"/>
            <w:gridSpan w:val="2"/>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828" w:type="dxa"/>
            <w:gridSpan w:val="3"/>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3006" w:type="dxa"/>
            <w:gridSpan w:val="2"/>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66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27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992"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559"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41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828"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300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390.84</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78.87</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债务利息及费用支出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基本工资</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151.79</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18.87</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30701</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国内债务付息</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津贴补贴</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印刷费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30702</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国外债务付息</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82.87</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咨询费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伙食补助费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7.89</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手续费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31001</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房屋建筑物购建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绩效工资</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水费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办公设备购置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38.71</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电费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专用设备购置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职业年金缴费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邮电费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1.55</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31005</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基础设施建设</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职工基本医疗保险缴费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15.48</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取暖费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31006</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大型修缮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25.36</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物业管理费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12.04</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31007</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信息网络及软件购置更新</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差旅费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12.61</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31008</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物资储备</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23.95</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32"/>
                <w:szCs w:val="32"/>
              </w:rPr>
            </w:pPr>
            <w:r>
              <w:rPr>
                <w:rFonts w:hint="eastAsia" w:ascii="宋体" w:hAnsi="宋体" w:cs="Arial"/>
                <w:color w:val="000000"/>
                <w:kern w:val="0"/>
                <w:sz w:val="32"/>
                <w:szCs w:val="32"/>
              </w:rPr>
              <w:t xml:space="preserve">  因公出国（境）费用</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31009</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土地补偿</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30114</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维修（护）费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31010</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安置补助</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其他工资福利支出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租赁费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31011</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地上附着物和青苗补偿</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会议费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31012</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拆迁补偿</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离休费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培训费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31013</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退休费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15.72</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公务接待费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31019</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其他交通工具购置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退职（役）费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专用材料费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31021</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文物和陈列品购置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抚恤金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被装购置费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31022</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无形资产购置</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生活补助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专用燃料费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31099</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其他资本性支出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救济费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劳务费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委托业务费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39906</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赠与</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助学金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工会经费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39907</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国家赔偿费用支出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奖励金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福利费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2.85</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39908</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对民间非营利组织和群众性自治组织补贴</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个人农业生产补贴</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公务用车运行维护费</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39999</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其他对个人和家庭的补助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其他交通费用</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20.07</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税金及附加费用</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其他商品和服务支出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6.18</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828"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6" w:type="dxa"/>
            <w:gridSpan w:val="2"/>
            <w:tcBorders>
              <w:top w:val="nil"/>
              <w:left w:val="nil"/>
              <w:bottom w:val="single" w:color="000000" w:sz="4" w:space="0"/>
              <w:right w:val="single" w:color="000000"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42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406.56</w:t>
            </w:r>
          </w:p>
        </w:tc>
        <w:tc>
          <w:tcPr>
            <w:tcW w:w="9781" w:type="dxa"/>
            <w:gridSpan w:val="11"/>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3006" w:type="dxa"/>
            <w:gridSpan w:val="2"/>
            <w:tcBorders>
              <w:top w:val="nil"/>
              <w:left w:val="nil"/>
              <w:bottom w:val="single" w:color="000000" w:sz="4" w:space="0"/>
              <w:right w:val="single" w:color="000000" w:sz="4" w:space="0"/>
            </w:tcBorders>
            <w:shd w:val="clear" w:color="auto" w:fill="auto"/>
            <w:noWrap/>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78.87</w:t>
            </w:r>
          </w:p>
        </w:tc>
      </w:tr>
    </w:tbl>
    <w:p>
      <w:pPr>
        <w:sectPr>
          <w:pgSz w:w="16838" w:h="11906" w:orient="landscape"/>
          <w:pgMar w:top="720" w:right="720" w:bottom="720" w:left="720" w:header="851" w:footer="992" w:gutter="0"/>
          <w:cols w:space="720" w:num="1"/>
          <w:docGrid w:type="lines" w:linePitch="312" w:charSpace="0"/>
        </w:sectPr>
      </w:pPr>
    </w:p>
    <w:p>
      <w:pPr>
        <w:ind w:firstLine="1800" w:firstLineChars="5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0" w:type="auto"/>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tc>
        <w:tc>
          <w:tcPr>
            <w:tcW w:w="331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w:t>
            </w:r>
          </w:p>
        </w:tc>
        <w:tc>
          <w:tcPr>
            <w:tcW w:w="80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tc>
        <w:tc>
          <w:tcPr>
            <w:tcW w:w="341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60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(境）费</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待费</w:t>
            </w:r>
          </w:p>
        </w:tc>
        <w:tc>
          <w:tcPr>
            <w:tcW w:w="8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(境）费</w:t>
            </w:r>
          </w:p>
        </w:tc>
        <w:tc>
          <w:tcPr>
            <w:tcW w:w="80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待费</w:t>
            </w: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1.23</w:t>
            </w:r>
          </w:p>
        </w:tc>
        <w:tc>
          <w:tcPr>
            <w:tcW w:w="160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1.23</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1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1.23</w:t>
            </w:r>
          </w:p>
        </w:tc>
        <w:tc>
          <w:tcPr>
            <w:tcW w:w="80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1.19</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80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39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0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18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1.19</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ascii="Arial" w:hAnsi="Arial" w:cs="Arial"/>
                <w:color w:val="000000"/>
                <w:kern w:val="0"/>
                <w:sz w:val="20"/>
                <w:szCs w:val="20"/>
              </w:rPr>
            </w:pPr>
          </w:p>
        </w:tc>
        <w:tc>
          <w:tcPr>
            <w:tcW w:w="1603" w:type="dxa"/>
            <w:tcBorders>
              <w:top w:val="nil"/>
              <w:left w:val="nil"/>
              <w:bottom w:val="single" w:color="auto" w:sz="4" w:space="0"/>
              <w:right w:val="single" w:color="auto" w:sz="4" w:space="0"/>
            </w:tcBorders>
            <w:noWrap w:val="0"/>
            <w:vAlign w:val="center"/>
          </w:tcPr>
          <w:p>
            <w:pPr>
              <w:widowControl/>
              <w:ind w:firstLine="200" w:firstLineChars="100"/>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noWrap w:val="0"/>
            <w:vAlign w:val="center"/>
          </w:tcPr>
          <w:p>
            <w:pPr>
              <w:widowControl/>
              <w:ind w:firstLine="200" w:firstLineChars="100"/>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noWrap w:val="0"/>
            <w:vAlign w:val="center"/>
          </w:tcPr>
          <w:p>
            <w:pPr>
              <w:widowControl/>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noWrap w:val="0"/>
            <w:vAlign w:val="center"/>
          </w:tcPr>
          <w:p>
            <w:pPr>
              <w:widowControl/>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noWrap w:val="0"/>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noWrap w:val="0"/>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560" w:type="dxa"/>
            <w:tcBorders>
              <w:top w:val="nil"/>
              <w:left w:val="nil"/>
              <w:bottom w:val="single" w:color="auto" w:sz="4" w:space="0"/>
              <w:right w:val="single" w:color="auto" w:sz="4" w:space="0"/>
            </w:tcBorders>
            <w:noWrap w:val="0"/>
            <w:vAlign w:val="center"/>
          </w:tcPr>
          <w:p>
            <w:pPr>
              <w:widowControl/>
              <w:ind w:firstLine="200" w:firstLineChars="100"/>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noWrap w:val="0"/>
            <w:vAlign w:val="center"/>
          </w:tcPr>
          <w:p>
            <w:pPr>
              <w:widowControl/>
              <w:ind w:firstLine="200" w:firstLineChars="100"/>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noWrap w:val="0"/>
            <w:vAlign w:val="center"/>
          </w:tcPr>
          <w:p>
            <w:pPr>
              <w:widowControl/>
              <w:ind w:firstLine="400" w:firstLineChars="200"/>
              <w:jc w:val="center"/>
              <w:rPr>
                <w:rFonts w:hint="eastAsia" w:ascii="Arial" w:hAnsi="Arial" w:cs="Arial"/>
                <w:color w:val="000000"/>
                <w:kern w:val="0"/>
                <w:sz w:val="20"/>
                <w:szCs w:val="20"/>
              </w:rPr>
            </w:pP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183" w:type="dxa"/>
            <w:tcBorders>
              <w:top w:val="nil"/>
              <w:left w:val="nil"/>
              <w:bottom w:val="single" w:color="auto" w:sz="4" w:space="0"/>
              <w:right w:val="single" w:color="auto" w:sz="4" w:space="0"/>
            </w:tcBorders>
            <w:noWrap w:val="0"/>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r>
    </w:tbl>
    <w:p>
      <w:pPr>
        <w:rPr>
          <w:rFonts w:hint="eastAsia"/>
        </w:rPr>
        <w:sectPr>
          <w:pgSz w:w="16838" w:h="11906" w:orient="landscape"/>
          <w:pgMar w:top="1797" w:right="1440" w:bottom="1797" w:left="1440" w:header="851" w:footer="992" w:gutter="0"/>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注：本表反映部门本年度“三公”经费支出预决算情况。其中，2019年度预算数为“三公”经费年初预算数，决算数是包括当年一般公共预算财政拨款和以前年度结转资金安排的实际支出数。</w:t>
      </w:r>
    </w:p>
    <w:p>
      <w:pPr>
        <w:rPr>
          <w:rFonts w:hint="eastAsia"/>
        </w:rPr>
      </w:pPr>
    </w:p>
    <w:tbl>
      <w:tblPr>
        <w:tblStyle w:val="4"/>
        <w:tblW w:w="0" w:type="auto"/>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385" w:type="dxa"/>
            <w:tcBorders>
              <w:top w:val="nil"/>
              <w:left w:val="nil"/>
              <w:bottom w:val="nil"/>
              <w:right w:val="nil"/>
            </w:tcBorders>
            <w:noWrap w:val="0"/>
            <w:vAlign w:val="bottom"/>
          </w:tcPr>
          <w:p>
            <w:pPr>
              <w:widowControl/>
              <w:jc w:val="left"/>
              <w:rPr>
                <w:rFonts w:ascii="仿宋_GB2312" w:hAnsi="宋体" w:cs="宋体"/>
                <w:kern w:val="0"/>
                <w:sz w:val="24"/>
              </w:rPr>
            </w:pPr>
          </w:p>
        </w:tc>
        <w:tc>
          <w:tcPr>
            <w:tcW w:w="765"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noWrap w:val="0"/>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noWrap w:val="0"/>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noWrap w:val="0"/>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cols w:space="720" w:num="1"/>
          <w:docGrid w:type="lines" w:linePitch="312" w:charSpace="0"/>
        </w:sectPr>
      </w:pPr>
      <w:r>
        <w:rPr>
          <w:rFonts w:hint="eastAsia"/>
        </w:rPr>
        <w:t xml:space="preserve">    </w:t>
      </w:r>
      <w:r>
        <w:rPr>
          <w:rFonts w:hint="eastAsia" w:ascii="方正小标宋简体" w:hAnsi="宋体" w:eastAsia="方正小标宋简体" w:cs="宋体"/>
          <w:kern w:val="0"/>
          <w:sz w:val="32"/>
          <w:szCs w:val="32"/>
        </w:rPr>
        <w:t>融安县政协办公室没有政府性基金预算财政拨款收入，也没有政府性基金安排的支出，故本表无数据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43A07"/>
    <w:rsid w:val="3F54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2020-09-11T01:50:00Z</dcterms:created>
  <dc:creator>未定义</dc:creator>
  <cp:lastModifiedBy>未定义</cp:lastModifiedBy>
  <dcterms:modified xsi:type="dcterms:W3CDTF">2020-09-11T01:51:15Z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