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6E70D">
      <w:pPr>
        <w:widowControl/>
        <w:shd w:val="clear" w:color="auto" w:fill="FFFFFF"/>
        <w:spacing w:line="390" w:lineRule="atLeast"/>
        <w:jc w:val="center"/>
        <w:outlineLvl w:val="0"/>
        <w:rPr>
          <w:rFonts w:cs="宋体" w:asciiTheme="majorEastAsia" w:hAnsiTheme="majorEastAsia" w:eastAsiaTheme="majorEastAsia"/>
          <w:b/>
          <w:bCs/>
          <w:color w:val="333333"/>
          <w:kern w:val="36"/>
          <w:sz w:val="44"/>
          <w:szCs w:val="44"/>
        </w:rPr>
      </w:pPr>
    </w:p>
    <w:p w14:paraId="79738F8F">
      <w:pPr>
        <w:widowControl/>
        <w:shd w:val="clear" w:color="auto" w:fill="FFFFFF"/>
        <w:spacing w:line="390" w:lineRule="atLeast"/>
        <w:jc w:val="center"/>
        <w:outlineLvl w:val="0"/>
        <w:rPr>
          <w:rFonts w:cs="宋体" w:asciiTheme="majorEastAsia" w:hAnsiTheme="majorEastAsia" w:eastAsiaTheme="majorEastAsia"/>
          <w:b/>
          <w:bCs/>
          <w:color w:val="333333"/>
          <w:kern w:val="36"/>
          <w:sz w:val="44"/>
          <w:szCs w:val="44"/>
        </w:rPr>
      </w:pPr>
    </w:p>
    <w:p w14:paraId="1447B09E">
      <w:pPr>
        <w:widowControl/>
        <w:shd w:val="clear" w:color="auto" w:fill="FFFFFF"/>
        <w:spacing w:line="390" w:lineRule="atLeast"/>
        <w:jc w:val="center"/>
        <w:outlineLvl w:val="0"/>
        <w:rPr>
          <w:rFonts w:cs="宋体" w:asciiTheme="majorEastAsia" w:hAnsiTheme="majorEastAsia" w:eastAsiaTheme="majorEastAsia"/>
          <w:b/>
          <w:bCs/>
          <w:color w:val="333333"/>
          <w:kern w:val="36"/>
          <w:sz w:val="48"/>
          <w:szCs w:val="48"/>
        </w:rPr>
      </w:pPr>
      <w:r>
        <w:rPr>
          <w:rFonts w:cs="宋体" w:asciiTheme="majorEastAsia" w:hAnsiTheme="majorEastAsia" w:eastAsiaTheme="majorEastAsia"/>
          <w:b/>
          <w:bCs/>
          <w:color w:val="333333"/>
          <w:kern w:val="36"/>
          <w:sz w:val="48"/>
          <w:szCs w:val="48"/>
        </w:rPr>
        <w:t>融安县</w:t>
      </w:r>
      <w:r>
        <w:rPr>
          <w:rFonts w:hint="eastAsia" w:cs="宋体" w:asciiTheme="majorEastAsia" w:hAnsiTheme="majorEastAsia" w:eastAsiaTheme="majorEastAsia"/>
          <w:b/>
          <w:bCs/>
          <w:color w:val="333333"/>
          <w:kern w:val="36"/>
          <w:sz w:val="48"/>
          <w:szCs w:val="48"/>
        </w:rPr>
        <w:t>医疗保障局</w:t>
      </w:r>
      <w:r>
        <w:rPr>
          <w:rFonts w:cs="宋体" w:asciiTheme="majorEastAsia" w:hAnsiTheme="majorEastAsia" w:eastAsiaTheme="majorEastAsia"/>
          <w:b/>
          <w:bCs/>
          <w:color w:val="333333"/>
          <w:kern w:val="36"/>
          <w:sz w:val="48"/>
          <w:szCs w:val="48"/>
        </w:rPr>
        <w:t xml:space="preserve"> </w:t>
      </w:r>
    </w:p>
    <w:p w14:paraId="095751F3">
      <w:pPr>
        <w:widowControl/>
        <w:shd w:val="clear" w:color="auto" w:fill="FFFFFF"/>
        <w:spacing w:line="390" w:lineRule="atLeast"/>
        <w:jc w:val="center"/>
        <w:outlineLvl w:val="0"/>
        <w:rPr>
          <w:rFonts w:cs="宋体" w:asciiTheme="majorEastAsia" w:hAnsiTheme="majorEastAsia" w:eastAsiaTheme="majorEastAsia"/>
          <w:b/>
          <w:bCs/>
          <w:color w:val="333333"/>
          <w:kern w:val="36"/>
          <w:sz w:val="48"/>
          <w:szCs w:val="48"/>
        </w:rPr>
      </w:pPr>
      <w:r>
        <w:rPr>
          <w:rFonts w:cs="宋体" w:asciiTheme="majorEastAsia" w:hAnsiTheme="majorEastAsia" w:eastAsiaTheme="majorEastAsia"/>
          <w:b/>
          <w:bCs/>
          <w:color w:val="333333"/>
          <w:kern w:val="36"/>
          <w:sz w:val="48"/>
          <w:szCs w:val="48"/>
        </w:rPr>
        <w:t>202</w:t>
      </w:r>
      <w:r>
        <w:rPr>
          <w:rFonts w:hint="eastAsia" w:cs="宋体" w:asciiTheme="majorEastAsia" w:hAnsiTheme="majorEastAsia" w:eastAsiaTheme="majorEastAsia"/>
          <w:b/>
          <w:bCs/>
          <w:color w:val="333333"/>
          <w:kern w:val="36"/>
          <w:sz w:val="48"/>
          <w:szCs w:val="48"/>
        </w:rPr>
        <w:t>5</w:t>
      </w:r>
      <w:r>
        <w:rPr>
          <w:rFonts w:cs="宋体" w:asciiTheme="majorEastAsia" w:hAnsiTheme="majorEastAsia" w:eastAsiaTheme="majorEastAsia"/>
          <w:b/>
          <w:bCs/>
          <w:color w:val="333333"/>
          <w:kern w:val="36"/>
          <w:sz w:val="48"/>
          <w:szCs w:val="48"/>
        </w:rPr>
        <w:t>年</w:t>
      </w:r>
      <w:r>
        <w:rPr>
          <w:rFonts w:hint="eastAsia" w:cs="宋体" w:asciiTheme="majorEastAsia" w:hAnsiTheme="majorEastAsia" w:eastAsiaTheme="majorEastAsia"/>
          <w:b/>
          <w:bCs/>
          <w:color w:val="333333"/>
          <w:kern w:val="36"/>
          <w:sz w:val="48"/>
          <w:szCs w:val="48"/>
        </w:rPr>
        <w:t>部门</w:t>
      </w:r>
      <w:r>
        <w:rPr>
          <w:rFonts w:cs="宋体" w:asciiTheme="majorEastAsia" w:hAnsiTheme="majorEastAsia" w:eastAsiaTheme="majorEastAsia"/>
          <w:b/>
          <w:bCs/>
          <w:color w:val="333333"/>
          <w:kern w:val="36"/>
          <w:sz w:val="48"/>
          <w:szCs w:val="48"/>
        </w:rPr>
        <w:t>预算</w:t>
      </w:r>
      <w:r>
        <w:rPr>
          <w:rFonts w:hint="eastAsia" w:cs="宋体" w:asciiTheme="majorEastAsia" w:hAnsiTheme="majorEastAsia" w:eastAsiaTheme="majorEastAsia"/>
          <w:b/>
          <w:bCs/>
          <w:color w:val="333333"/>
          <w:kern w:val="36"/>
          <w:sz w:val="48"/>
          <w:szCs w:val="48"/>
        </w:rPr>
        <w:t>公开</w:t>
      </w:r>
    </w:p>
    <w:p w14:paraId="479B41FC">
      <w:pPr>
        <w:widowControl/>
        <w:shd w:val="clear" w:color="auto" w:fill="FFFFFF"/>
        <w:spacing w:line="390" w:lineRule="atLeast"/>
        <w:jc w:val="center"/>
        <w:outlineLvl w:val="0"/>
        <w:rPr>
          <w:rFonts w:cs="宋体" w:asciiTheme="majorEastAsia" w:hAnsiTheme="majorEastAsia" w:eastAsiaTheme="majorEastAsia"/>
          <w:b/>
          <w:bCs/>
          <w:color w:val="333333"/>
          <w:kern w:val="36"/>
          <w:sz w:val="44"/>
          <w:szCs w:val="44"/>
        </w:rPr>
      </w:pPr>
    </w:p>
    <w:p w14:paraId="24D0AC62">
      <w:pPr>
        <w:spacing w:line="360" w:lineRule="auto"/>
        <w:jc w:val="center"/>
        <w:rPr>
          <w:rStyle w:val="8"/>
          <w:rFonts w:ascii="黑体" w:hAnsi="黑体" w:eastAsia="黑体"/>
          <w:b w:val="0"/>
          <w:sz w:val="32"/>
          <w:szCs w:val="32"/>
        </w:rPr>
      </w:pPr>
      <w:r>
        <w:rPr>
          <w:rStyle w:val="8"/>
          <w:rFonts w:ascii="黑体" w:hAnsi="黑体" w:eastAsia="黑体"/>
          <w:b w:val="0"/>
          <w:sz w:val="32"/>
          <w:szCs w:val="32"/>
        </w:rPr>
        <w:t xml:space="preserve">目 </w:t>
      </w:r>
      <w:r>
        <w:rPr>
          <w:rStyle w:val="8"/>
          <w:rFonts w:hint="eastAsia" w:ascii="黑体" w:hAnsi="黑体" w:eastAsia="黑体"/>
          <w:b w:val="0"/>
          <w:sz w:val="32"/>
          <w:szCs w:val="32"/>
        </w:rPr>
        <w:t xml:space="preserve"> </w:t>
      </w:r>
      <w:r>
        <w:rPr>
          <w:rStyle w:val="8"/>
          <w:rFonts w:ascii="黑体" w:hAnsi="黑体" w:eastAsia="黑体"/>
          <w:b w:val="0"/>
          <w:sz w:val="32"/>
          <w:szCs w:val="32"/>
        </w:rPr>
        <w:t>录</w:t>
      </w:r>
    </w:p>
    <w:p w14:paraId="18BB754A">
      <w:pPr>
        <w:spacing w:line="360" w:lineRule="auto"/>
        <w:jc w:val="center"/>
        <w:rPr>
          <w:rStyle w:val="8"/>
          <w:rFonts w:ascii="方正小标宋简体" w:hAnsi="华文仿宋" w:eastAsia="方正小标宋简体"/>
          <w:bCs w:val="0"/>
          <w:sz w:val="44"/>
          <w:szCs w:val="44"/>
        </w:rPr>
      </w:pPr>
    </w:p>
    <w:p w14:paraId="52E86CAD">
      <w:pPr>
        <w:spacing w:line="360" w:lineRule="auto"/>
        <w:ind w:firstLine="704" w:firstLineChars="220"/>
        <w:rPr>
          <w:rStyle w:val="12"/>
          <w:rFonts w:ascii="黑体" w:hAnsi="黑体" w:eastAsia="黑体"/>
          <w:bCs/>
          <w:color w:val="000000"/>
          <w:sz w:val="32"/>
          <w:szCs w:val="32"/>
        </w:rPr>
      </w:pPr>
      <w:r>
        <w:rPr>
          <w:rStyle w:val="12"/>
          <w:rFonts w:ascii="黑体" w:hAnsi="黑体" w:eastAsia="黑体"/>
          <w:color w:val="000000"/>
          <w:sz w:val="32"/>
          <w:szCs w:val="32"/>
        </w:rPr>
        <w:t>第一部分：</w:t>
      </w:r>
      <w:r>
        <w:rPr>
          <w:rStyle w:val="12"/>
          <w:rFonts w:hint="eastAsia" w:ascii="黑体" w:hAnsi="黑体" w:eastAsia="黑体"/>
          <w:color w:val="000000"/>
          <w:sz w:val="32"/>
          <w:szCs w:val="32"/>
        </w:rPr>
        <w:t>部门</w:t>
      </w:r>
      <w:r>
        <w:rPr>
          <w:rStyle w:val="12"/>
          <w:rFonts w:ascii="黑体" w:hAnsi="黑体" w:eastAsia="黑体"/>
          <w:color w:val="000000"/>
          <w:sz w:val="32"/>
          <w:szCs w:val="32"/>
        </w:rPr>
        <w:t>概况</w:t>
      </w:r>
    </w:p>
    <w:p w14:paraId="56FEB558">
      <w:pPr>
        <w:spacing w:line="360" w:lineRule="auto"/>
        <w:ind w:firstLine="704" w:firstLineChars="220"/>
        <w:rPr>
          <w:rStyle w:val="12"/>
          <w:rFonts w:ascii="黑体" w:hAnsi="黑体" w:eastAsia="黑体"/>
          <w:bCs/>
          <w:color w:val="000000"/>
          <w:sz w:val="32"/>
          <w:szCs w:val="32"/>
        </w:rPr>
      </w:pPr>
    </w:p>
    <w:p w14:paraId="0E533DF2">
      <w:pPr>
        <w:spacing w:line="360" w:lineRule="auto"/>
        <w:ind w:firstLine="704" w:firstLineChars="220"/>
        <w:rPr>
          <w:rStyle w:val="12"/>
          <w:rFonts w:ascii="黑体" w:hAnsi="黑体" w:eastAsia="黑体"/>
          <w:color w:val="000000"/>
          <w:sz w:val="32"/>
          <w:szCs w:val="32"/>
        </w:rPr>
      </w:pPr>
      <w:r>
        <w:rPr>
          <w:rStyle w:val="12"/>
          <w:rFonts w:ascii="黑体" w:hAnsi="黑体" w:eastAsia="黑体"/>
          <w:color w:val="000000"/>
          <w:sz w:val="32"/>
          <w:szCs w:val="32"/>
        </w:rPr>
        <w:t>第</w:t>
      </w:r>
      <w:r>
        <w:rPr>
          <w:rStyle w:val="12"/>
          <w:rFonts w:hint="eastAsia" w:ascii="黑体" w:hAnsi="黑体" w:eastAsia="黑体"/>
          <w:color w:val="000000"/>
          <w:sz w:val="32"/>
          <w:szCs w:val="32"/>
        </w:rPr>
        <w:t>二</w:t>
      </w:r>
      <w:r>
        <w:rPr>
          <w:rStyle w:val="12"/>
          <w:rFonts w:ascii="黑体" w:hAnsi="黑体" w:eastAsia="黑体"/>
          <w:color w:val="000000"/>
          <w:sz w:val="32"/>
          <w:szCs w:val="32"/>
        </w:rPr>
        <w:t>部分：</w:t>
      </w:r>
      <w:r>
        <w:rPr>
          <w:rStyle w:val="12"/>
          <w:rFonts w:hint="eastAsia" w:ascii="黑体" w:hAnsi="黑体" w:eastAsia="黑体"/>
          <w:color w:val="000000"/>
          <w:sz w:val="32"/>
          <w:szCs w:val="32"/>
        </w:rPr>
        <w:t>融安县医疗保障局</w:t>
      </w:r>
      <w:r>
        <w:rPr>
          <w:rStyle w:val="12"/>
          <w:rFonts w:ascii="黑体" w:hAnsi="黑体" w:eastAsia="黑体"/>
          <w:color w:val="000000"/>
          <w:sz w:val="32"/>
          <w:szCs w:val="32"/>
        </w:rPr>
        <w:t>202</w:t>
      </w:r>
      <w:r>
        <w:rPr>
          <w:rStyle w:val="12"/>
          <w:rFonts w:hint="eastAsia" w:ascii="黑体" w:hAnsi="黑体" w:eastAsia="黑体"/>
          <w:color w:val="000000"/>
          <w:sz w:val="32"/>
          <w:szCs w:val="32"/>
        </w:rPr>
        <w:t>5</w:t>
      </w:r>
      <w:r>
        <w:rPr>
          <w:rStyle w:val="12"/>
          <w:rFonts w:ascii="黑体" w:hAnsi="黑体" w:eastAsia="黑体"/>
          <w:color w:val="000000"/>
          <w:sz w:val="32"/>
          <w:szCs w:val="32"/>
        </w:rPr>
        <w:t>年</w:t>
      </w:r>
      <w:r>
        <w:rPr>
          <w:rStyle w:val="12"/>
          <w:rFonts w:hint="eastAsia" w:ascii="黑体" w:hAnsi="黑体" w:eastAsia="黑体"/>
          <w:color w:val="000000"/>
          <w:sz w:val="32"/>
          <w:szCs w:val="32"/>
        </w:rPr>
        <w:t>部门</w:t>
      </w:r>
      <w:r>
        <w:rPr>
          <w:rStyle w:val="12"/>
          <w:rFonts w:ascii="黑体" w:hAnsi="黑体" w:eastAsia="黑体"/>
          <w:color w:val="000000"/>
          <w:sz w:val="32"/>
          <w:szCs w:val="32"/>
        </w:rPr>
        <w:t>预算</w:t>
      </w:r>
      <w:r>
        <w:rPr>
          <w:rStyle w:val="12"/>
          <w:rFonts w:hint="eastAsia" w:ascii="黑体" w:hAnsi="黑体" w:eastAsia="黑体"/>
          <w:color w:val="000000"/>
          <w:sz w:val="32"/>
          <w:szCs w:val="32"/>
        </w:rPr>
        <w:t>情况</w:t>
      </w:r>
      <w:r>
        <w:rPr>
          <w:rStyle w:val="12"/>
          <w:rFonts w:ascii="黑体" w:hAnsi="黑体" w:eastAsia="黑体"/>
          <w:color w:val="000000"/>
          <w:sz w:val="32"/>
          <w:szCs w:val="32"/>
        </w:rPr>
        <w:t>说明</w:t>
      </w:r>
    </w:p>
    <w:p w14:paraId="57EA8D7D">
      <w:pPr>
        <w:spacing w:line="360" w:lineRule="auto"/>
        <w:ind w:firstLine="704" w:firstLineChars="220"/>
        <w:rPr>
          <w:rStyle w:val="12"/>
          <w:rFonts w:ascii="黑体" w:hAnsi="黑体" w:eastAsia="黑体"/>
          <w:bCs/>
          <w:color w:val="000000"/>
          <w:sz w:val="32"/>
          <w:szCs w:val="32"/>
        </w:rPr>
      </w:pPr>
    </w:p>
    <w:p w14:paraId="13F0F7D0">
      <w:pPr>
        <w:spacing w:line="360" w:lineRule="auto"/>
        <w:ind w:firstLine="704" w:firstLineChars="220"/>
        <w:rPr>
          <w:rStyle w:val="12"/>
          <w:rFonts w:ascii="黑体" w:hAnsi="黑体" w:eastAsia="黑体"/>
          <w:color w:val="000000"/>
          <w:sz w:val="32"/>
          <w:szCs w:val="32"/>
        </w:rPr>
      </w:pPr>
      <w:r>
        <w:rPr>
          <w:rStyle w:val="12"/>
          <w:rFonts w:ascii="黑体" w:hAnsi="黑体" w:eastAsia="黑体"/>
          <w:color w:val="000000"/>
          <w:sz w:val="32"/>
          <w:szCs w:val="32"/>
        </w:rPr>
        <w:t>第</w:t>
      </w:r>
      <w:r>
        <w:rPr>
          <w:rStyle w:val="12"/>
          <w:rFonts w:hint="eastAsia" w:ascii="黑体" w:hAnsi="黑体" w:eastAsia="黑体"/>
          <w:color w:val="000000"/>
          <w:sz w:val="32"/>
          <w:szCs w:val="32"/>
        </w:rPr>
        <w:t>三</w:t>
      </w:r>
      <w:r>
        <w:rPr>
          <w:rStyle w:val="12"/>
          <w:rFonts w:ascii="黑体" w:hAnsi="黑体" w:eastAsia="黑体"/>
          <w:color w:val="000000"/>
          <w:sz w:val="32"/>
          <w:szCs w:val="32"/>
        </w:rPr>
        <w:t>部分：名词解释</w:t>
      </w:r>
    </w:p>
    <w:p w14:paraId="0AF64C85">
      <w:pPr>
        <w:spacing w:line="360" w:lineRule="auto"/>
        <w:ind w:firstLine="704" w:firstLineChars="220"/>
        <w:rPr>
          <w:rStyle w:val="12"/>
          <w:rFonts w:ascii="黑体" w:hAnsi="黑体" w:eastAsia="黑体"/>
          <w:color w:val="000000"/>
          <w:sz w:val="32"/>
          <w:szCs w:val="32"/>
        </w:rPr>
      </w:pPr>
    </w:p>
    <w:p w14:paraId="336DB3A0">
      <w:pPr>
        <w:spacing w:line="360" w:lineRule="auto"/>
        <w:ind w:firstLine="704" w:firstLineChars="220"/>
        <w:rPr>
          <w:rStyle w:val="12"/>
          <w:rFonts w:ascii="黑体" w:hAnsi="黑体" w:eastAsia="黑体"/>
          <w:bCs/>
          <w:color w:val="000000"/>
          <w:sz w:val="32"/>
          <w:szCs w:val="32"/>
        </w:rPr>
      </w:pPr>
      <w:r>
        <w:rPr>
          <w:rStyle w:val="12"/>
          <w:rFonts w:ascii="黑体" w:hAnsi="黑体" w:eastAsia="黑体"/>
          <w:color w:val="000000"/>
          <w:sz w:val="32"/>
          <w:szCs w:val="32"/>
        </w:rPr>
        <w:t>第四部分：</w:t>
      </w:r>
      <w:r>
        <w:rPr>
          <w:rStyle w:val="12"/>
          <w:rFonts w:hint="eastAsia" w:ascii="黑体" w:hAnsi="黑体" w:eastAsia="黑体"/>
          <w:color w:val="000000"/>
          <w:sz w:val="32"/>
          <w:szCs w:val="32"/>
        </w:rPr>
        <w:t>融安县医疗保障局</w:t>
      </w:r>
      <w:r>
        <w:rPr>
          <w:rStyle w:val="12"/>
          <w:rFonts w:ascii="黑体" w:hAnsi="黑体" w:eastAsia="黑体"/>
          <w:color w:val="000000"/>
          <w:sz w:val="32"/>
          <w:szCs w:val="32"/>
        </w:rPr>
        <w:t>202</w:t>
      </w:r>
      <w:r>
        <w:rPr>
          <w:rStyle w:val="12"/>
          <w:rFonts w:hint="eastAsia" w:ascii="黑体" w:hAnsi="黑体" w:eastAsia="黑体"/>
          <w:color w:val="000000"/>
          <w:sz w:val="32"/>
          <w:szCs w:val="32"/>
        </w:rPr>
        <w:t>5</w:t>
      </w:r>
      <w:r>
        <w:rPr>
          <w:rStyle w:val="12"/>
          <w:rFonts w:ascii="黑体" w:hAnsi="黑体" w:eastAsia="黑体"/>
          <w:color w:val="000000"/>
          <w:sz w:val="32"/>
          <w:szCs w:val="32"/>
        </w:rPr>
        <w:t>年</w:t>
      </w:r>
      <w:r>
        <w:rPr>
          <w:rStyle w:val="12"/>
          <w:rFonts w:hint="eastAsia" w:ascii="黑体" w:hAnsi="黑体" w:eastAsia="黑体"/>
          <w:color w:val="000000"/>
          <w:sz w:val="32"/>
          <w:szCs w:val="32"/>
        </w:rPr>
        <w:t>部门</w:t>
      </w:r>
      <w:r>
        <w:rPr>
          <w:rStyle w:val="12"/>
          <w:rFonts w:ascii="黑体" w:hAnsi="黑体" w:eastAsia="黑体"/>
          <w:color w:val="000000"/>
          <w:sz w:val="32"/>
          <w:szCs w:val="32"/>
        </w:rPr>
        <w:t>预算</w:t>
      </w:r>
      <w:r>
        <w:rPr>
          <w:rStyle w:val="12"/>
          <w:rFonts w:hint="eastAsia" w:ascii="黑体" w:hAnsi="黑体" w:eastAsia="黑体"/>
          <w:color w:val="000000"/>
          <w:sz w:val="32"/>
          <w:szCs w:val="32"/>
        </w:rPr>
        <w:t>公开报表</w:t>
      </w:r>
    </w:p>
    <w:p w14:paraId="178C9501">
      <w:pPr>
        <w:widowControl/>
        <w:shd w:val="clear" w:color="auto" w:fill="FFFFFF"/>
        <w:spacing w:line="390" w:lineRule="atLeast"/>
        <w:jc w:val="center"/>
        <w:outlineLvl w:val="0"/>
        <w:rPr>
          <w:rFonts w:ascii="黑体" w:hAnsi="黑体" w:eastAsia="黑体" w:cs="宋体"/>
          <w:bCs/>
          <w:color w:val="333333"/>
          <w:kern w:val="36"/>
          <w:sz w:val="32"/>
          <w:szCs w:val="32"/>
        </w:rPr>
      </w:pPr>
    </w:p>
    <w:p w14:paraId="3761A46F">
      <w:pPr>
        <w:widowControl/>
        <w:shd w:val="clear" w:color="auto" w:fill="FFFFFF"/>
        <w:spacing w:line="390" w:lineRule="atLeast"/>
        <w:jc w:val="center"/>
        <w:outlineLvl w:val="0"/>
        <w:rPr>
          <w:rFonts w:ascii="黑体" w:hAnsi="黑体" w:eastAsia="黑体" w:cs="宋体"/>
          <w:bCs/>
          <w:color w:val="333333"/>
          <w:kern w:val="36"/>
          <w:sz w:val="32"/>
          <w:szCs w:val="32"/>
        </w:rPr>
      </w:pPr>
    </w:p>
    <w:p w14:paraId="3C9B84BB">
      <w:pPr>
        <w:widowControl/>
        <w:shd w:val="clear" w:color="auto" w:fill="FFFFFF"/>
        <w:spacing w:line="390" w:lineRule="atLeast"/>
        <w:jc w:val="center"/>
        <w:outlineLvl w:val="0"/>
        <w:rPr>
          <w:rFonts w:ascii="黑体" w:hAnsi="黑体" w:eastAsia="黑体" w:cs="宋体"/>
          <w:bCs/>
          <w:color w:val="333333"/>
          <w:kern w:val="36"/>
          <w:sz w:val="32"/>
          <w:szCs w:val="32"/>
        </w:rPr>
      </w:pPr>
    </w:p>
    <w:p w14:paraId="58C8FB19">
      <w:pPr>
        <w:widowControl/>
        <w:shd w:val="clear" w:color="auto" w:fill="FFFFFF"/>
        <w:spacing w:line="390" w:lineRule="atLeast"/>
        <w:jc w:val="center"/>
        <w:outlineLvl w:val="0"/>
        <w:rPr>
          <w:rFonts w:ascii="黑体" w:hAnsi="黑体" w:eastAsia="黑体" w:cs="宋体"/>
          <w:bCs/>
          <w:color w:val="333333"/>
          <w:kern w:val="36"/>
          <w:sz w:val="32"/>
          <w:szCs w:val="32"/>
        </w:rPr>
      </w:pPr>
    </w:p>
    <w:p w14:paraId="5B00ECA9">
      <w:pPr>
        <w:widowControl/>
        <w:shd w:val="clear" w:color="auto" w:fill="FFFFFF"/>
        <w:spacing w:line="390" w:lineRule="atLeast"/>
        <w:jc w:val="center"/>
        <w:outlineLvl w:val="0"/>
        <w:rPr>
          <w:rFonts w:ascii="黑体" w:hAnsi="黑体" w:eastAsia="黑体" w:cs="宋体"/>
          <w:bCs/>
          <w:color w:val="333333"/>
          <w:kern w:val="36"/>
          <w:sz w:val="32"/>
          <w:szCs w:val="32"/>
        </w:rPr>
      </w:pPr>
    </w:p>
    <w:p w14:paraId="2DDCE00C">
      <w:pPr>
        <w:widowControl/>
        <w:shd w:val="clear" w:color="auto" w:fill="FFFFFF"/>
        <w:spacing w:line="390" w:lineRule="atLeast"/>
        <w:jc w:val="center"/>
        <w:outlineLvl w:val="0"/>
        <w:rPr>
          <w:rFonts w:ascii="黑体" w:hAnsi="黑体" w:eastAsia="黑体" w:cs="宋体"/>
          <w:bCs/>
          <w:color w:val="333333"/>
          <w:kern w:val="36"/>
          <w:sz w:val="32"/>
          <w:szCs w:val="32"/>
        </w:rPr>
      </w:pPr>
    </w:p>
    <w:p w14:paraId="0CDAE111">
      <w:pPr>
        <w:widowControl/>
        <w:shd w:val="clear" w:color="auto" w:fill="FFFFFF"/>
        <w:spacing w:line="390" w:lineRule="atLeast"/>
        <w:jc w:val="center"/>
        <w:outlineLvl w:val="0"/>
        <w:rPr>
          <w:rFonts w:ascii="黑体" w:hAnsi="黑体" w:eastAsia="黑体" w:cs="宋体"/>
          <w:bCs/>
          <w:color w:val="333333"/>
          <w:kern w:val="36"/>
          <w:sz w:val="32"/>
          <w:szCs w:val="32"/>
        </w:rPr>
      </w:pPr>
    </w:p>
    <w:p w14:paraId="737A1432">
      <w:pPr>
        <w:widowControl/>
        <w:shd w:val="clear" w:color="auto" w:fill="FFFFFF"/>
        <w:spacing w:line="390" w:lineRule="atLeast"/>
        <w:jc w:val="center"/>
        <w:outlineLvl w:val="0"/>
        <w:rPr>
          <w:rFonts w:ascii="黑体" w:hAnsi="黑体" w:eastAsia="黑体" w:cs="宋体"/>
          <w:bCs/>
          <w:color w:val="333333"/>
          <w:kern w:val="36"/>
          <w:sz w:val="32"/>
          <w:szCs w:val="32"/>
        </w:rPr>
      </w:pPr>
    </w:p>
    <w:p w14:paraId="40FCF16F">
      <w:pPr>
        <w:widowControl/>
        <w:shd w:val="clear" w:color="auto" w:fill="FFFFFF"/>
        <w:spacing w:line="360" w:lineRule="auto"/>
        <w:jc w:val="center"/>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第一部分：</w:t>
      </w:r>
      <w:r>
        <w:rPr>
          <w:rStyle w:val="12"/>
          <w:rFonts w:hint="eastAsia" w:ascii="黑体" w:hAnsi="黑体" w:eastAsia="黑体"/>
          <w:color w:val="000000"/>
          <w:sz w:val="32"/>
          <w:szCs w:val="32"/>
        </w:rPr>
        <w:t>融安县医疗保障局</w:t>
      </w:r>
      <w:r>
        <w:rPr>
          <w:rFonts w:hint="eastAsia" w:ascii="黑体" w:hAnsi="黑体" w:eastAsia="黑体" w:cs="宋体"/>
          <w:bCs/>
          <w:color w:val="333333"/>
          <w:kern w:val="0"/>
          <w:sz w:val="32"/>
          <w:szCs w:val="32"/>
        </w:rPr>
        <w:t>概况</w:t>
      </w:r>
    </w:p>
    <w:p w14:paraId="046A634D">
      <w:pPr>
        <w:widowControl/>
        <w:shd w:val="clear" w:color="auto" w:fill="FFFFFF"/>
        <w:spacing w:line="360" w:lineRule="auto"/>
        <w:jc w:val="center"/>
        <w:rPr>
          <w:rFonts w:ascii="宋体" w:hAnsi="宋体" w:eastAsia="宋体" w:cs="宋体"/>
          <w:color w:val="333333"/>
          <w:kern w:val="0"/>
          <w:sz w:val="32"/>
          <w:szCs w:val="32"/>
        </w:rPr>
      </w:pPr>
    </w:p>
    <w:p w14:paraId="08EDB772">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一、主要职能</w:t>
      </w:r>
      <w:r>
        <w:rPr>
          <w:rFonts w:hint="eastAsia" w:ascii="宋体" w:hAnsi="宋体" w:eastAsia="宋体" w:cs="宋体"/>
          <w:color w:val="333333"/>
          <w:kern w:val="0"/>
          <w:sz w:val="32"/>
          <w:szCs w:val="32"/>
        </w:rPr>
        <w:t> </w:t>
      </w:r>
    </w:p>
    <w:p w14:paraId="191E9B41">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融安县医疗保障局的主要职能是：组织执行自治区统一的城乡居民基本医疗保险制度，组织执行柳州市城乡居民大病医疗保险制度和医疗救助制度，建立健全覆盖全民、城乡统筹的多层次医疗保障体系，不断提高医疗保障水平，确保医疗保障资金的多层次医疗保障体系，不断提高医疗保障水平，确保医疗保障资金合理使用、安全可控，推进医疗、医保、医药“三医联动”改革，更好保障人民群众就医需求，减轻医药费用负担。</w:t>
      </w:r>
    </w:p>
    <w:p w14:paraId="6E060CE0">
      <w:pPr>
        <w:autoSpaceDE w:val="0"/>
        <w:autoSpaceDN w:val="0"/>
        <w:adjustRightInd w:val="0"/>
        <w:spacing w:line="360" w:lineRule="auto"/>
        <w:ind w:firstLine="640"/>
        <w:jc w:val="left"/>
        <w:rPr>
          <w:rFonts w:ascii="宋体" w:hAnsi="宋体" w:eastAsia="宋体" w:cs="宋体"/>
          <w:kern w:val="0"/>
          <w:sz w:val="32"/>
          <w:szCs w:val="32"/>
        </w:rPr>
      </w:pPr>
    </w:p>
    <w:p w14:paraId="1D5DD4B8">
      <w:pPr>
        <w:widowControl/>
        <w:shd w:val="clear" w:color="auto" w:fill="FFFFFF"/>
        <w:spacing w:line="360" w:lineRule="auto"/>
        <w:jc w:val="left"/>
        <w:rPr>
          <w:rFonts w:ascii="宋体" w:hAnsi="宋体" w:eastAsia="宋体" w:cs="宋体"/>
          <w:b/>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color w:val="333333"/>
          <w:kern w:val="0"/>
          <w:sz w:val="32"/>
          <w:szCs w:val="32"/>
        </w:rPr>
        <w:t>二、机构设置情况</w:t>
      </w:r>
    </w:p>
    <w:p w14:paraId="2532E69D">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本部门共直属单位两个。分别是：</w:t>
      </w:r>
    </w:p>
    <w:p w14:paraId="2A6B4A11">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（一）行政单位1个，机构名为融安县医疗保障局，行政正科级建制，内设机构为办公室。</w:t>
      </w:r>
    </w:p>
    <w:p w14:paraId="0BD0A5BF">
      <w:pPr>
        <w:autoSpaceDE w:val="0"/>
        <w:autoSpaceDN w:val="0"/>
        <w:adjustRightInd w:val="0"/>
        <w:spacing w:line="360" w:lineRule="auto"/>
        <w:ind w:firstLine="640"/>
        <w:jc w:val="left"/>
        <w:rPr>
          <w:rFonts w:ascii="宋体" w:hAnsi="宋体" w:eastAsia="宋体" w:cs="仿宋"/>
          <w:kern w:val="0"/>
          <w:sz w:val="32"/>
          <w:szCs w:val="32"/>
          <w:highlight w:val="white"/>
          <w:lang w:val="zh-CN"/>
        </w:rPr>
      </w:pPr>
      <w:r>
        <w:rPr>
          <w:rFonts w:hint="eastAsia" w:ascii="宋体" w:hAnsi="宋体" w:eastAsia="宋体" w:cs="宋体"/>
          <w:kern w:val="0"/>
          <w:sz w:val="32"/>
          <w:szCs w:val="32"/>
        </w:rPr>
        <w:t>（二）全额拨款事业</w:t>
      </w:r>
      <w:r>
        <w:rPr>
          <w:rFonts w:hint="eastAsia" w:ascii="宋体" w:hAnsi="宋体" w:eastAsia="宋体" w:cs="仿宋"/>
          <w:kern w:val="0"/>
          <w:sz w:val="32"/>
          <w:szCs w:val="32"/>
          <w:highlight w:val="white"/>
          <w:lang w:val="zh-CN"/>
        </w:rPr>
        <w:t>单位1个，机构名为融安县医疗保障事业管理中心，为县医疗保障局管理的公益一类事业单位。内设办公室、医疗待遇股、定点管理股、信息管理股、基金管理股、计划财务股。</w:t>
      </w:r>
    </w:p>
    <w:p w14:paraId="746AA59D">
      <w:pPr>
        <w:autoSpaceDE w:val="0"/>
        <w:autoSpaceDN w:val="0"/>
        <w:adjustRightInd w:val="0"/>
        <w:spacing w:line="360" w:lineRule="auto"/>
        <w:ind w:firstLine="640"/>
        <w:jc w:val="left"/>
        <w:rPr>
          <w:rFonts w:ascii="宋体" w:hAnsi="宋体" w:eastAsia="宋体" w:cs="仿宋"/>
          <w:kern w:val="0"/>
          <w:sz w:val="32"/>
          <w:szCs w:val="32"/>
          <w:highlight w:val="white"/>
          <w:lang w:val="zh-CN"/>
        </w:rPr>
      </w:pPr>
    </w:p>
    <w:p w14:paraId="06BDDBF4">
      <w:pPr>
        <w:autoSpaceDE w:val="0"/>
        <w:autoSpaceDN w:val="0"/>
        <w:adjustRightInd w:val="0"/>
        <w:spacing w:line="360" w:lineRule="auto"/>
        <w:ind w:firstLine="640"/>
        <w:jc w:val="left"/>
        <w:rPr>
          <w:rFonts w:ascii="宋体" w:hAnsi="宋体" w:eastAsia="宋体" w:cs="宋体"/>
          <w:b/>
          <w:color w:val="333333"/>
          <w:kern w:val="0"/>
          <w:sz w:val="32"/>
          <w:szCs w:val="32"/>
        </w:rPr>
      </w:pPr>
      <w:r>
        <w:rPr>
          <w:rFonts w:hint="eastAsia" w:ascii="宋体" w:hAnsi="宋体" w:eastAsia="宋体" w:cs="宋体"/>
          <w:b/>
          <w:color w:val="333333"/>
          <w:kern w:val="0"/>
          <w:sz w:val="32"/>
          <w:szCs w:val="32"/>
        </w:rPr>
        <w:t>三、编制现状及人员构成</w:t>
      </w:r>
    </w:p>
    <w:p w14:paraId="49CF65CC">
      <w:pPr>
        <w:autoSpaceDE w:val="0"/>
        <w:autoSpaceDN w:val="0"/>
        <w:adjustRightInd w:val="0"/>
        <w:spacing w:line="360" w:lineRule="auto"/>
        <w:ind w:firstLine="640"/>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单位人员编制总数为35人，其中行政编制5人，事业编制30人。</w:t>
      </w:r>
    </w:p>
    <w:p w14:paraId="736DCF17">
      <w:pPr>
        <w:autoSpaceDE w:val="0"/>
        <w:autoSpaceDN w:val="0"/>
        <w:adjustRightInd w:val="0"/>
        <w:spacing w:line="360" w:lineRule="auto"/>
        <w:ind w:firstLine="640"/>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编内在职34人，其中行政在职5人，事业在职29人。退休3人。</w:t>
      </w:r>
    </w:p>
    <w:p w14:paraId="714D7493">
      <w:pPr>
        <w:autoSpaceDE w:val="0"/>
        <w:autoSpaceDN w:val="0"/>
        <w:adjustRightInd w:val="0"/>
        <w:spacing w:line="360" w:lineRule="auto"/>
        <w:ind w:firstLine="640"/>
        <w:jc w:val="left"/>
        <w:rPr>
          <w:rFonts w:ascii="宋体" w:hAnsi="宋体" w:eastAsia="宋体" w:cs="宋体"/>
          <w:b/>
          <w:color w:val="333333"/>
          <w:kern w:val="0"/>
          <w:sz w:val="32"/>
          <w:szCs w:val="32"/>
        </w:rPr>
      </w:pPr>
      <w:r>
        <w:rPr>
          <w:rFonts w:hint="eastAsia" w:ascii="宋体" w:hAnsi="宋体" w:eastAsia="宋体" w:cs="宋体"/>
          <w:b/>
          <w:color w:val="333333"/>
          <w:kern w:val="0"/>
          <w:sz w:val="32"/>
          <w:szCs w:val="32"/>
        </w:rPr>
        <w:t>（一）机关本级</w:t>
      </w:r>
    </w:p>
    <w:p w14:paraId="5AD3603B">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核定编制</w:t>
      </w:r>
      <w:r>
        <w:rPr>
          <w:rFonts w:ascii="宋体" w:hAnsi="宋体" w:eastAsia="宋体" w:cs="宋体"/>
          <w:kern w:val="0"/>
          <w:sz w:val="32"/>
          <w:szCs w:val="32"/>
        </w:rPr>
        <w:t>5</w:t>
      </w:r>
      <w:r>
        <w:rPr>
          <w:rFonts w:hint="eastAsia" w:ascii="宋体" w:hAnsi="宋体" w:eastAsia="宋体" w:cs="宋体"/>
          <w:kern w:val="0"/>
          <w:sz w:val="32"/>
          <w:szCs w:val="32"/>
        </w:rPr>
        <w:t>人，其中：行政编制5人，编制内在职5人。</w:t>
      </w:r>
    </w:p>
    <w:p w14:paraId="4F8AD901">
      <w:pPr>
        <w:autoSpaceDE w:val="0"/>
        <w:autoSpaceDN w:val="0"/>
        <w:adjustRightInd w:val="0"/>
        <w:spacing w:line="360" w:lineRule="auto"/>
        <w:ind w:firstLine="640"/>
        <w:jc w:val="left"/>
        <w:rPr>
          <w:rFonts w:ascii="宋体" w:hAnsi="宋体" w:eastAsia="宋体" w:cs="宋体"/>
          <w:b/>
          <w:kern w:val="0"/>
          <w:sz w:val="32"/>
          <w:szCs w:val="32"/>
        </w:rPr>
      </w:pPr>
      <w:r>
        <w:rPr>
          <w:rFonts w:hint="eastAsia" w:ascii="宋体" w:hAnsi="宋体" w:eastAsia="宋体" w:cs="宋体"/>
          <w:b/>
          <w:kern w:val="0"/>
          <w:sz w:val="32"/>
          <w:szCs w:val="32"/>
        </w:rPr>
        <w:t>（二）所属事业单位</w:t>
      </w:r>
    </w:p>
    <w:p w14:paraId="17CF2B4B">
      <w:pPr>
        <w:autoSpaceDE w:val="0"/>
        <w:autoSpaceDN w:val="0"/>
        <w:adjustRightInd w:val="0"/>
        <w:spacing w:line="360" w:lineRule="auto"/>
        <w:ind w:firstLine="640"/>
        <w:jc w:val="left"/>
        <w:rPr>
          <w:rFonts w:ascii="宋体" w:hAnsi="宋体" w:eastAsia="宋体" w:cs="仿宋"/>
          <w:kern w:val="0"/>
          <w:sz w:val="32"/>
          <w:szCs w:val="32"/>
          <w:highlight w:val="white"/>
          <w:lang w:val="zh-CN"/>
        </w:rPr>
      </w:pPr>
      <w:r>
        <w:rPr>
          <w:rFonts w:hint="eastAsia" w:ascii="宋体" w:hAnsi="宋体" w:eastAsia="宋体" w:cs="仿宋"/>
          <w:kern w:val="0"/>
          <w:sz w:val="32"/>
          <w:szCs w:val="32"/>
          <w:highlight w:val="white"/>
          <w:lang w:val="zh-CN"/>
        </w:rPr>
        <w:t>核定编制30人，其中：事业编制30人，编制内在职29人。退休3人。</w:t>
      </w:r>
    </w:p>
    <w:p w14:paraId="37D20E1A">
      <w:pPr>
        <w:autoSpaceDE w:val="0"/>
        <w:autoSpaceDN w:val="0"/>
        <w:adjustRightInd w:val="0"/>
        <w:spacing w:line="360" w:lineRule="auto"/>
        <w:ind w:firstLine="640"/>
        <w:jc w:val="left"/>
        <w:rPr>
          <w:rFonts w:ascii="宋体" w:hAnsi="宋体" w:eastAsia="宋体" w:cs="宋体"/>
          <w:b/>
          <w:kern w:val="0"/>
          <w:sz w:val="32"/>
          <w:szCs w:val="32"/>
        </w:rPr>
      </w:pPr>
    </w:p>
    <w:p w14:paraId="1C625686">
      <w:pPr>
        <w:widowControl/>
        <w:shd w:val="clear" w:color="auto" w:fill="FFFFFF"/>
        <w:spacing w:line="360" w:lineRule="auto"/>
        <w:jc w:val="left"/>
        <w:rPr>
          <w:rFonts w:ascii="宋体" w:hAnsi="宋体" w:eastAsia="宋体" w:cs="宋体"/>
          <w:color w:val="333333"/>
          <w:kern w:val="0"/>
          <w:sz w:val="32"/>
          <w:szCs w:val="32"/>
        </w:rPr>
      </w:pPr>
    </w:p>
    <w:p w14:paraId="00F172C9">
      <w:pPr>
        <w:spacing w:line="360" w:lineRule="auto"/>
        <w:ind w:firstLine="704" w:firstLineChars="220"/>
        <w:rPr>
          <w:rStyle w:val="12"/>
          <w:rFonts w:ascii="黑体" w:hAnsi="黑体" w:eastAsia="黑体"/>
          <w:color w:val="000000"/>
          <w:sz w:val="32"/>
          <w:szCs w:val="32"/>
        </w:rPr>
      </w:pPr>
      <w:r>
        <w:rPr>
          <w:rStyle w:val="12"/>
          <w:rFonts w:ascii="黑体" w:hAnsi="黑体" w:eastAsia="黑体"/>
          <w:color w:val="000000"/>
          <w:sz w:val="32"/>
          <w:szCs w:val="32"/>
        </w:rPr>
        <w:t>第</w:t>
      </w:r>
      <w:r>
        <w:rPr>
          <w:rStyle w:val="12"/>
          <w:rFonts w:hint="eastAsia" w:ascii="黑体" w:hAnsi="黑体" w:eastAsia="黑体"/>
          <w:color w:val="000000"/>
          <w:sz w:val="32"/>
          <w:szCs w:val="32"/>
        </w:rPr>
        <w:t>二</w:t>
      </w:r>
      <w:r>
        <w:rPr>
          <w:rStyle w:val="12"/>
          <w:rFonts w:ascii="黑体" w:hAnsi="黑体" w:eastAsia="黑体"/>
          <w:color w:val="000000"/>
          <w:sz w:val="32"/>
          <w:szCs w:val="32"/>
        </w:rPr>
        <w:t>部分：</w:t>
      </w:r>
      <w:r>
        <w:rPr>
          <w:rStyle w:val="12"/>
          <w:rFonts w:hint="eastAsia" w:ascii="黑体" w:hAnsi="黑体" w:eastAsia="黑体"/>
          <w:color w:val="000000"/>
          <w:sz w:val="32"/>
          <w:szCs w:val="32"/>
        </w:rPr>
        <w:t>融安县医疗保障局</w:t>
      </w:r>
      <w:r>
        <w:rPr>
          <w:rStyle w:val="12"/>
          <w:rFonts w:ascii="黑体" w:hAnsi="黑体" w:eastAsia="黑体"/>
          <w:color w:val="000000"/>
          <w:sz w:val="32"/>
          <w:szCs w:val="32"/>
        </w:rPr>
        <w:t>202</w:t>
      </w:r>
      <w:r>
        <w:rPr>
          <w:rStyle w:val="12"/>
          <w:rFonts w:hint="eastAsia" w:ascii="黑体" w:hAnsi="黑体" w:eastAsia="黑体"/>
          <w:color w:val="000000"/>
          <w:sz w:val="32"/>
          <w:szCs w:val="32"/>
        </w:rPr>
        <w:t>5</w:t>
      </w:r>
      <w:r>
        <w:rPr>
          <w:rStyle w:val="12"/>
          <w:rFonts w:ascii="黑体" w:hAnsi="黑体" w:eastAsia="黑体"/>
          <w:color w:val="000000"/>
          <w:sz w:val="32"/>
          <w:szCs w:val="32"/>
        </w:rPr>
        <w:t>年</w:t>
      </w:r>
      <w:r>
        <w:rPr>
          <w:rStyle w:val="12"/>
          <w:rFonts w:hint="eastAsia" w:ascii="黑体" w:hAnsi="黑体" w:eastAsia="黑体"/>
          <w:color w:val="000000"/>
          <w:sz w:val="32"/>
          <w:szCs w:val="32"/>
        </w:rPr>
        <w:t>部门</w:t>
      </w:r>
      <w:r>
        <w:rPr>
          <w:rStyle w:val="12"/>
          <w:rFonts w:ascii="黑体" w:hAnsi="黑体" w:eastAsia="黑体"/>
          <w:color w:val="000000"/>
          <w:sz w:val="32"/>
          <w:szCs w:val="32"/>
        </w:rPr>
        <w:t>预算</w:t>
      </w:r>
      <w:r>
        <w:rPr>
          <w:rStyle w:val="12"/>
          <w:rFonts w:hint="eastAsia" w:ascii="黑体" w:hAnsi="黑体" w:eastAsia="黑体"/>
          <w:color w:val="000000"/>
          <w:sz w:val="32"/>
          <w:szCs w:val="32"/>
        </w:rPr>
        <w:t>情况</w:t>
      </w:r>
      <w:r>
        <w:rPr>
          <w:rStyle w:val="12"/>
          <w:rFonts w:ascii="黑体" w:hAnsi="黑体" w:eastAsia="黑体"/>
          <w:color w:val="000000"/>
          <w:sz w:val="32"/>
          <w:szCs w:val="32"/>
        </w:rPr>
        <w:t>说明</w:t>
      </w:r>
    </w:p>
    <w:p w14:paraId="3E314637">
      <w:pPr>
        <w:widowControl/>
        <w:shd w:val="clear" w:color="auto" w:fill="FFFFFF"/>
        <w:spacing w:line="360" w:lineRule="auto"/>
        <w:jc w:val="center"/>
        <w:rPr>
          <w:rFonts w:ascii="宋体" w:hAnsi="宋体" w:eastAsia="宋体" w:cs="宋体"/>
          <w:b/>
          <w:bCs/>
          <w:color w:val="333333"/>
          <w:kern w:val="0"/>
          <w:sz w:val="32"/>
          <w:szCs w:val="32"/>
        </w:rPr>
      </w:pPr>
    </w:p>
    <w:p w14:paraId="63FF45B2">
      <w:pPr>
        <w:widowControl/>
        <w:shd w:val="clear" w:color="auto" w:fill="FFFFFF"/>
        <w:spacing w:line="360" w:lineRule="auto"/>
        <w:ind w:firstLine="465"/>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一、部门收支总体情况说明</w:t>
      </w:r>
      <w:r>
        <w:rPr>
          <w:rFonts w:hint="eastAsia" w:ascii="宋体" w:hAnsi="宋体" w:eastAsia="宋体" w:cs="宋体"/>
          <w:color w:val="333333"/>
          <w:kern w:val="0"/>
          <w:sz w:val="32"/>
          <w:szCs w:val="32"/>
        </w:rPr>
        <w:t> </w:t>
      </w:r>
    </w:p>
    <w:p w14:paraId="51CEA37F">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2025年部门收支总预算3185万元，同比增加155.56万元，同比增幅5.13%，同比变动较大的项目是：</w:t>
      </w:r>
    </w:p>
    <w:p w14:paraId="3D82DD92">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1、社会保障和就业支出比上年减少71.65万元；</w:t>
      </w:r>
    </w:p>
    <w:p w14:paraId="72574DB7">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2、卫生健康支出比上年减少106.75万元；</w:t>
      </w:r>
    </w:p>
    <w:p w14:paraId="5E00CF1D">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3、农林水支出比上年增加336万元。</w:t>
      </w:r>
    </w:p>
    <w:p w14:paraId="2DBF4780">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二、部门收入总体情况说明</w:t>
      </w:r>
    </w:p>
    <w:p w14:paraId="44385672">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2025年部门收入总预算3185万元，同比增加155.56万元，同比增幅5.13%。本部门预算收入全部为一般公共预算收入，同比变动较大的项目是：</w:t>
      </w:r>
    </w:p>
    <w:p w14:paraId="374AB16A">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1、社会保障和就业支出比上年减少71.65万元；</w:t>
      </w:r>
    </w:p>
    <w:p w14:paraId="436DE544">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2、卫生健康支出比上年减少106.75万元；</w:t>
      </w:r>
    </w:p>
    <w:p w14:paraId="025A5085">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3、农林水支出比上年增加336万元。</w:t>
      </w:r>
    </w:p>
    <w:p w14:paraId="542C1C3D">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p>
    <w:p w14:paraId="54106D8A">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三、部门支出总体情况说明</w:t>
      </w:r>
      <w:r>
        <w:rPr>
          <w:rFonts w:hint="eastAsia" w:ascii="宋体" w:hAnsi="宋体" w:eastAsia="宋体" w:cs="宋体"/>
          <w:color w:val="333333"/>
          <w:kern w:val="0"/>
          <w:sz w:val="32"/>
          <w:szCs w:val="32"/>
        </w:rPr>
        <w:t> </w:t>
      </w:r>
    </w:p>
    <w:p w14:paraId="428AE626">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2025年部门支出总预算3185万元，同比增加155.56万元，同比增幅5.13%。</w:t>
      </w:r>
    </w:p>
    <w:p w14:paraId="7F35A086">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本年支出中，基本支出391.14万元，同比减少91.67万元，同比减幅18.99%。基本支出减少的主要原因是人员工资及社保减少。</w:t>
      </w:r>
    </w:p>
    <w:p w14:paraId="1B39B467">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项目支出2793.86万元，同比增加247.23万元，同比增幅9.71%。项目支出增加的主要原因是：</w:t>
      </w:r>
    </w:p>
    <w:p w14:paraId="25802552">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1、财政代缴其他社会保险费支出比上年减少66.19万元；</w:t>
      </w:r>
    </w:p>
    <w:p w14:paraId="4176AD78">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2、财政对城乡居民基本医疗保险基金的补助比上年增加6.75万元；</w:t>
      </w:r>
    </w:p>
    <w:p w14:paraId="0425847D">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3、城乡医疗救助比上年减少29.3万元；</w:t>
      </w:r>
    </w:p>
    <w:p w14:paraId="699BAB23">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4、其他巩固脱贫攻坚成果衔接乡村振兴支出比上年增加336万元。</w:t>
      </w:r>
    </w:p>
    <w:p w14:paraId="4D0562E2">
      <w:pPr>
        <w:widowControl/>
        <w:shd w:val="clear" w:color="auto" w:fill="FFFFFF"/>
        <w:spacing w:line="360" w:lineRule="auto"/>
        <w:ind w:firstLine="851"/>
        <w:jc w:val="left"/>
        <w:rPr>
          <w:rFonts w:ascii="宋体" w:hAnsi="宋体" w:eastAsia="宋体" w:cs="宋体"/>
          <w:color w:val="333333"/>
          <w:kern w:val="0"/>
          <w:sz w:val="32"/>
          <w:szCs w:val="32"/>
        </w:rPr>
      </w:pPr>
    </w:p>
    <w:p w14:paraId="54BB9FCC">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四、财政拨款收支总体情况说明</w:t>
      </w:r>
    </w:p>
    <w:p w14:paraId="46B2598E">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2025年财政拨款收支总预算3185万元，同比增加155.56万元，同比增幅5.13%。本部门预算收入全部为一般公共预算收入，同比变动较大的项目是：</w:t>
      </w:r>
    </w:p>
    <w:p w14:paraId="272430F2">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1、社会保障和就业支出比上年减少71.65万元；</w:t>
      </w:r>
    </w:p>
    <w:p w14:paraId="1CD99DBA">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2、卫生健康支出比上年减少106.75万元；</w:t>
      </w:r>
    </w:p>
    <w:p w14:paraId="725375C5">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3、农林水支出比上年增加336万元。</w:t>
      </w:r>
    </w:p>
    <w:p w14:paraId="0EAD020C">
      <w:pPr>
        <w:widowControl/>
        <w:shd w:val="clear" w:color="auto" w:fill="FFFFFF"/>
        <w:spacing w:line="360" w:lineRule="auto"/>
        <w:ind w:firstLine="709"/>
        <w:jc w:val="left"/>
        <w:rPr>
          <w:rFonts w:ascii="宋体" w:hAnsi="宋体" w:eastAsia="宋体" w:cs="宋体"/>
          <w:color w:val="333333"/>
          <w:kern w:val="0"/>
          <w:sz w:val="32"/>
          <w:szCs w:val="32"/>
        </w:rPr>
      </w:pPr>
    </w:p>
    <w:p w14:paraId="11CB2B55">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五、一般公共预算支出情况说明</w:t>
      </w:r>
    </w:p>
    <w:p w14:paraId="36B58AE7">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2025年本部门一般公共预算支出总预算3185万元，同比增加155.56万元，同比增幅5.13%。其中：</w:t>
      </w:r>
    </w:p>
    <w:p w14:paraId="26E26FB3">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基本支出391.14万元，同比减少91.67万元，同比减幅18.99%。其中：人员经费359.52万元，公用经费31.62万元。基本支出减少的主要原因是减少人员工资福利支出，压缩公用经费。</w:t>
      </w:r>
    </w:p>
    <w:p w14:paraId="38E8B88E">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项目支出2793.86万元，同比增加247.23万元，同比增幅9.71%。增长的主要原因是：</w:t>
      </w:r>
    </w:p>
    <w:p w14:paraId="2CDA11D6">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1、由于对精准扶贫人员个人缴费补助政策的调整，财政代缴其他社会保险费支出比上年减少66.19万元；</w:t>
      </w:r>
    </w:p>
    <w:p w14:paraId="141ECE3E">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2、城乡居民医疗保险的人均补助金额调整，财政对城乡居民基本医疗保险基金的补助比上年增加6.75万元；</w:t>
      </w:r>
    </w:p>
    <w:p w14:paraId="52E2426B">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3、因上年度上级拔付的城乡医疗救助补助资金比以前年度减少，本年度安排的预算也相应比上年减少30万元；</w:t>
      </w:r>
    </w:p>
    <w:p w14:paraId="383F6765">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4、因上年度其他巩固脱贫攻坚成果衔接乡村振兴支出为0，应支未支的其他巩固脱贫攻坚成果衔接乡村振兴支出纳入本年预算，比上年增加336万元。</w:t>
      </w:r>
    </w:p>
    <w:p w14:paraId="3BE5A5E7">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按支出功能分类科目划分，共分为四类，其中：</w:t>
      </w:r>
      <w:r>
        <w:rPr>
          <w:rFonts w:hint="eastAsia" w:ascii="宋体" w:hAnsi="宋体" w:eastAsia="宋体" w:cs="宋体"/>
          <w:color w:val="333333"/>
          <w:kern w:val="0"/>
          <w:sz w:val="32"/>
          <w:szCs w:val="32"/>
        </w:rPr>
        <w:t>  </w:t>
      </w:r>
    </w:p>
    <w:p w14:paraId="3931C95A">
      <w:pPr>
        <w:widowControl/>
        <w:shd w:val="clear" w:color="auto" w:fill="FFFFFF"/>
        <w:spacing w:line="360" w:lineRule="auto"/>
        <w:ind w:firstLine="707" w:firstLineChars="22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社会保障和就业类科目支出预算928.73万元,占支出总预算29.16%，同比减少71.75万元，同比减幅7.17%；主要用于：2080502事业部门离退休1.29万元，2080505机关事业部门基本养老保险缴费支出46.82万元，2080506机关事业部门职业年金缴费支出23.41万元，2083099财政代缴其他社会保险支出857.21万元。</w:t>
      </w:r>
    </w:p>
    <w:p w14:paraId="6E2341A4">
      <w:pPr>
        <w:widowControl/>
        <w:shd w:val="clear" w:color="auto" w:fill="FFFFFF"/>
        <w:spacing w:line="360" w:lineRule="auto"/>
        <w:ind w:firstLine="707" w:firstLineChars="22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其中重点项目城乡居民基本医疗保险特殊人员个人缴费补助，因补助政策的调整，财政代缴其他社会保险费支出比上年减少66.19万元。</w:t>
      </w:r>
    </w:p>
    <w:p w14:paraId="149EFDBA">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2、卫生健康类科目支出预算1265.16万元,占支出总预算39.72%，同比减少106.75万元，同比减幅7.78%；主要用于： 2101101行政单位医疗3.8万元，2101102事业单位医疗19.23万元， 2101103公务员医疗补助2.84万元， 2101202财政对城乡居民基本医疗保险基金的补助809.95万元， 2101301城乡医疗救助170.7万元，2101501行政运行54.24万元，2101550事业运行204.4万元。</w:t>
      </w:r>
    </w:p>
    <w:p w14:paraId="57A25B3B">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其中重点项目：1、城乡医疗救助因上年度的上级补助资金减少，本年度安排的预算比上年减少29.3万元。2、城乡居民医疗保险的人均补助金额调整，财政对城乡居民基本医疗保险基金的补助比上年增加6.75万元。3、因参公人员分流，工资福利及人员定额经费减少83万元。</w:t>
      </w:r>
    </w:p>
    <w:p w14:paraId="28F303D3">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3、农林水类科目支出预算956万元,占支出总预算30.02%，同比增加336万元，同比增幅54.19%；主要用于2130599其他巩固脱贫衔接乡村振兴支出956万元，因2024年此项支出为0，应支未支纳入本年预算。</w:t>
      </w:r>
    </w:p>
    <w:p w14:paraId="03824592">
      <w:pPr>
        <w:widowControl/>
        <w:shd w:val="clear" w:color="auto" w:fill="FFFFFF"/>
        <w:spacing w:line="360" w:lineRule="auto"/>
        <w:ind w:firstLine="707" w:firstLineChars="22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4、住房保障类科目支出预算35.11万元,占支出总预算1.1%，同比减少1.94万元，同比减幅5.23%；主要用于2210201住房公积金35.11万元。</w:t>
      </w:r>
    </w:p>
    <w:p w14:paraId="2ADF777A">
      <w:pPr>
        <w:widowControl/>
        <w:shd w:val="clear" w:color="auto" w:fill="FFFFFF"/>
        <w:spacing w:line="360" w:lineRule="auto"/>
        <w:ind w:firstLine="425" w:firstLineChars="133"/>
        <w:jc w:val="left"/>
        <w:rPr>
          <w:rFonts w:ascii="宋体" w:hAnsi="宋体" w:eastAsia="宋体" w:cs="宋体"/>
          <w:color w:val="333333"/>
          <w:kern w:val="0"/>
          <w:sz w:val="32"/>
          <w:szCs w:val="32"/>
        </w:rPr>
      </w:pPr>
    </w:p>
    <w:p w14:paraId="5B4478A6">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六、一般公共预算基本支出情况说明</w:t>
      </w:r>
    </w:p>
    <w:p w14:paraId="139B829E">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2025年本部门一般公共预算基本支出预算391.14万元，同比减少91.67万元，同比减幅18.99%。其中：</w:t>
      </w:r>
    </w:p>
    <w:p w14:paraId="487E38D8">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人员经费358.23万元，同比减少66.37万元，同比减幅15.63%，主要原因是参公人员分流和人员减少。</w:t>
      </w:r>
    </w:p>
    <w:p w14:paraId="5B52FBBA">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公用经费31.62万元，同比减少23.62万元，同比减幅42.76%，主要原因是压缩公用经费开支。</w:t>
      </w:r>
    </w:p>
    <w:p w14:paraId="24D1F38C">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按支出经济科目分类划分，共分为三类，其中：</w:t>
      </w:r>
      <w:r>
        <w:rPr>
          <w:rFonts w:hint="eastAsia" w:ascii="宋体" w:hAnsi="宋体" w:eastAsia="宋体" w:cs="宋体"/>
          <w:color w:val="333333"/>
          <w:kern w:val="0"/>
          <w:sz w:val="32"/>
          <w:szCs w:val="32"/>
        </w:rPr>
        <w:t> </w:t>
      </w:r>
    </w:p>
    <w:p w14:paraId="31729EE7">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1、工资福利支出358.23，占基本支出预算91.59%，同比减少66.37万元，同比减幅15.63%。 主要用于：30101基本工资128.35万元、30102津贴补贴21.74万元、30103奖金16.02万元、30107绩效工资59.11万元、30108机关事业部门基本养老保险缴费46.82万元、30109职业年金缴费23.41万元、30110职工基本医疗保险缴费22.82万元、30111公务员医疗补助缴费2.84万元、30112其他社会保障缴费2.01万元、30113住房公积金35.11万元。</w:t>
      </w:r>
    </w:p>
    <w:p w14:paraId="328DF899">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2、商品和服务支出31.62万元，占基本支出预算8.08%，同比减少23.62万元，同比减幅42.76%。 主要用于：30201办公费1.49万元、30202印刷费0.71万元、30205水费0.54万元、30206电费1.83万元、30207邮电费1.75万元、30211差旅费12.78万元、30215会议费1.33万元、30216培训费1.14万元、30217公务接待费0.82万元、30228工会经费5.85万元、30229福利费3.4万元。</w:t>
      </w:r>
    </w:p>
    <w:p w14:paraId="0BA7322B">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3、对个人和家庭的补助支出1.29万元，占基本支出预算0.33%，同比减少1.68万元，同比减幅56.56%。  主要用于： 30302退休费1.29万元。</w:t>
      </w:r>
    </w:p>
    <w:p w14:paraId="09D88389">
      <w:pPr>
        <w:widowControl/>
        <w:shd w:val="clear" w:color="auto" w:fill="FFFFFF"/>
        <w:spacing w:line="360" w:lineRule="auto"/>
        <w:ind w:firstLine="567"/>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p>
    <w:p w14:paraId="4E6F51EF">
      <w:pPr>
        <w:widowControl/>
        <w:shd w:val="clear" w:color="auto" w:fill="FFFFFF"/>
        <w:spacing w:line="360" w:lineRule="auto"/>
        <w:ind w:firstLine="709"/>
        <w:jc w:val="left"/>
        <w:rPr>
          <w:rFonts w:ascii="宋体" w:hAnsi="宋体" w:eastAsia="宋体" w:cs="宋体"/>
          <w:b/>
          <w:bCs/>
          <w:color w:val="333333"/>
          <w:kern w:val="0"/>
          <w:sz w:val="32"/>
          <w:szCs w:val="32"/>
        </w:rPr>
      </w:pPr>
      <w:r>
        <w:rPr>
          <w:rFonts w:hint="eastAsia" w:ascii="宋体" w:hAnsi="宋体" w:eastAsia="宋体" w:cs="宋体"/>
          <w:b/>
          <w:bCs/>
          <w:color w:val="333333"/>
          <w:kern w:val="0"/>
          <w:sz w:val="32"/>
          <w:szCs w:val="32"/>
        </w:rPr>
        <w:t>七、一般公共预算“三公”经费支出情况说明</w:t>
      </w:r>
    </w:p>
    <w:p w14:paraId="444F6073">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我部门2025年一般公共预算安排“三公”经费支出预算0.82万元，同口径比2024年增加0.01万元，同比增长1.23%，具体如下：</w:t>
      </w:r>
    </w:p>
    <w:p w14:paraId="659C8E6F">
      <w:pPr>
        <w:pStyle w:val="14"/>
        <w:widowControl/>
        <w:numPr>
          <w:ilvl w:val="0"/>
          <w:numId w:val="1"/>
        </w:numPr>
        <w:shd w:val="clear" w:color="auto" w:fill="FFFFFF"/>
        <w:spacing w:line="360" w:lineRule="auto"/>
        <w:ind w:left="0" w:firstLine="709" w:firstLineChars="0"/>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因公出国（境）经费2025年预算安排0万元。</w:t>
      </w:r>
    </w:p>
    <w:p w14:paraId="5F50C646">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2、公务接待费2025年预算安排0.82万元，同比上年增加0.01万元，同比增长1.23%，增长的主要原因是人员增加，公用经费相应增加。</w:t>
      </w:r>
    </w:p>
    <w:p w14:paraId="2123A115">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3、公务用车购置费及运行</w:t>
      </w:r>
      <w:bookmarkStart w:id="0" w:name="_GoBack"/>
      <w:r>
        <w:rPr>
          <w:rFonts w:hint="eastAsia" w:ascii="宋体" w:hAnsi="宋体" w:eastAsia="宋体" w:cs="宋体"/>
          <w:color w:val="333333"/>
          <w:kern w:val="0"/>
          <w:sz w:val="32"/>
          <w:szCs w:val="32"/>
          <w:lang w:eastAsia="zh-CN"/>
        </w:rPr>
        <w:t>维护</w:t>
      </w:r>
      <w:bookmarkEnd w:id="0"/>
      <w:r>
        <w:rPr>
          <w:rFonts w:hint="eastAsia" w:ascii="宋体" w:hAnsi="宋体" w:eastAsia="宋体" w:cs="宋体"/>
          <w:color w:val="333333"/>
          <w:kern w:val="0"/>
          <w:sz w:val="32"/>
          <w:szCs w:val="32"/>
        </w:rPr>
        <w:t>费2025年预算安排0万元。</w:t>
      </w:r>
    </w:p>
    <w:p w14:paraId="0F6C1CD7">
      <w:pPr>
        <w:widowControl/>
        <w:shd w:val="clear" w:color="auto" w:fill="FFFFFF"/>
        <w:spacing w:line="360" w:lineRule="auto"/>
        <w:jc w:val="left"/>
        <w:rPr>
          <w:rFonts w:ascii="宋体" w:hAnsi="宋体" w:eastAsia="宋体" w:cs="宋体"/>
          <w:color w:val="333333"/>
          <w:kern w:val="0"/>
          <w:sz w:val="32"/>
          <w:szCs w:val="32"/>
        </w:rPr>
      </w:pPr>
    </w:p>
    <w:p w14:paraId="638A4A83">
      <w:pPr>
        <w:widowControl/>
        <w:shd w:val="clear" w:color="auto" w:fill="FFFFFF"/>
        <w:spacing w:line="360" w:lineRule="auto"/>
        <w:ind w:firstLine="565" w:firstLineChars="176"/>
        <w:jc w:val="left"/>
        <w:rPr>
          <w:rFonts w:ascii="宋体" w:hAnsi="宋体" w:eastAsia="宋体" w:cs="宋体"/>
          <w:color w:val="333333"/>
          <w:kern w:val="0"/>
          <w:sz w:val="32"/>
          <w:szCs w:val="32"/>
        </w:rPr>
      </w:pPr>
      <w:r>
        <w:rPr>
          <w:rFonts w:hint="eastAsia" w:ascii="宋体" w:hAnsi="宋体" w:eastAsia="宋体" w:cs="宋体"/>
          <w:b/>
          <w:bCs/>
          <w:color w:val="000000"/>
          <w:kern w:val="0"/>
          <w:sz w:val="32"/>
          <w:szCs w:val="32"/>
        </w:rPr>
        <w:t>八、政府性基金预算支出情况说明</w:t>
      </w:r>
    </w:p>
    <w:p w14:paraId="232778F8">
      <w:pPr>
        <w:widowControl/>
        <w:shd w:val="clear" w:color="auto" w:fill="FFFFFF"/>
        <w:spacing w:line="360" w:lineRule="auto"/>
        <w:ind w:firstLine="563" w:firstLineChars="176"/>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我部门2025年无政府性基金预算</w:t>
      </w:r>
    </w:p>
    <w:p w14:paraId="5B3E03E0">
      <w:pPr>
        <w:widowControl/>
        <w:shd w:val="clear" w:color="auto" w:fill="FFFFFF"/>
        <w:spacing w:line="360" w:lineRule="auto"/>
        <w:ind w:firstLine="563" w:firstLineChars="176"/>
        <w:jc w:val="left"/>
        <w:rPr>
          <w:rFonts w:ascii="宋体" w:hAnsi="宋体" w:eastAsia="宋体" w:cs="宋体"/>
          <w:color w:val="333333"/>
          <w:kern w:val="0"/>
          <w:sz w:val="32"/>
          <w:szCs w:val="32"/>
        </w:rPr>
      </w:pPr>
    </w:p>
    <w:p w14:paraId="4C3FF080">
      <w:pPr>
        <w:widowControl/>
        <w:shd w:val="clear" w:color="auto" w:fill="FFFFFF"/>
        <w:spacing w:line="360" w:lineRule="auto"/>
        <w:ind w:firstLine="565" w:firstLineChars="176"/>
        <w:jc w:val="left"/>
        <w:rPr>
          <w:rFonts w:ascii="宋体" w:hAnsi="宋体" w:eastAsia="宋体" w:cs="宋体"/>
          <w:color w:val="333333"/>
          <w:kern w:val="0"/>
          <w:sz w:val="32"/>
          <w:szCs w:val="32"/>
        </w:rPr>
      </w:pPr>
      <w:r>
        <w:rPr>
          <w:rFonts w:hint="eastAsia" w:ascii="宋体" w:hAnsi="宋体" w:eastAsia="宋体" w:cs="宋体"/>
          <w:b/>
          <w:bCs/>
          <w:color w:val="000000"/>
          <w:kern w:val="0"/>
          <w:sz w:val="32"/>
          <w:szCs w:val="32"/>
        </w:rPr>
        <w:t>九、国有资本经营预算支出情况说明</w:t>
      </w:r>
    </w:p>
    <w:p w14:paraId="3047075A">
      <w:pPr>
        <w:widowControl/>
        <w:shd w:val="clear" w:color="auto" w:fill="FFFFFF"/>
        <w:spacing w:line="360" w:lineRule="auto"/>
        <w:ind w:firstLine="563" w:firstLineChars="176"/>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我部门2025年无国有资本经营预算</w:t>
      </w:r>
    </w:p>
    <w:p w14:paraId="7F94FD32">
      <w:pPr>
        <w:widowControl/>
        <w:shd w:val="clear" w:color="auto" w:fill="FFFFFF"/>
        <w:spacing w:line="360" w:lineRule="auto"/>
        <w:ind w:firstLine="563" w:firstLineChars="176"/>
        <w:jc w:val="left"/>
        <w:rPr>
          <w:rFonts w:ascii="宋体" w:hAnsi="宋体" w:eastAsia="宋体" w:cs="宋体"/>
          <w:color w:val="333333"/>
          <w:kern w:val="0"/>
          <w:sz w:val="32"/>
          <w:szCs w:val="32"/>
        </w:rPr>
      </w:pPr>
    </w:p>
    <w:p w14:paraId="65157F34">
      <w:pPr>
        <w:widowControl/>
        <w:shd w:val="clear" w:color="auto" w:fill="FFFFFF"/>
        <w:spacing w:line="360" w:lineRule="auto"/>
        <w:ind w:firstLine="565" w:firstLineChars="176"/>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十、其他重要事项情况说明</w:t>
      </w:r>
    </w:p>
    <w:p w14:paraId="027076E0">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（一）机关运行经费安排情况说明</w:t>
      </w:r>
    </w:p>
    <w:p w14:paraId="45F5F264">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本部门2025年机关运行经费财政拨款预算安排31.62万元，同比减少23.62万元，同比减幅42.76%，主要原因是压缩公用经费开支。。</w:t>
      </w:r>
    </w:p>
    <w:p w14:paraId="006B7078">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（二）政府采购预算安排情况说明</w:t>
      </w:r>
    </w:p>
    <w:p w14:paraId="61211FC6">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000000"/>
          <w:kern w:val="0"/>
          <w:sz w:val="32"/>
          <w:szCs w:val="32"/>
        </w:rPr>
        <w:t>我部门2025年</w:t>
      </w:r>
      <w:r>
        <w:rPr>
          <w:rFonts w:hint="eastAsia" w:ascii="宋体" w:hAnsi="宋体" w:eastAsia="宋体" w:cs="宋体"/>
          <w:color w:val="333333"/>
          <w:kern w:val="0"/>
          <w:sz w:val="32"/>
          <w:szCs w:val="32"/>
        </w:rPr>
        <w:t>无政府采购预算安排。</w:t>
      </w:r>
    </w:p>
    <w:p w14:paraId="21F12F9B">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（三）国有资产占用情况说明</w:t>
      </w:r>
    </w:p>
    <w:p w14:paraId="0DE83B53">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000000"/>
          <w:kern w:val="0"/>
          <w:sz w:val="32"/>
          <w:szCs w:val="32"/>
        </w:rPr>
        <w:t>我部门2025年</w:t>
      </w:r>
      <w:r>
        <w:rPr>
          <w:rFonts w:hint="eastAsia" w:ascii="宋体" w:hAnsi="宋体" w:eastAsia="宋体" w:cs="宋体"/>
          <w:color w:val="333333"/>
          <w:kern w:val="0"/>
          <w:sz w:val="32"/>
          <w:szCs w:val="32"/>
        </w:rPr>
        <w:t>无国有资产占用相关情况。</w:t>
      </w:r>
    </w:p>
    <w:p w14:paraId="22067064">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（四）重点项目预算绩效目标等情况说明</w:t>
      </w:r>
    </w:p>
    <w:p w14:paraId="629FE204">
      <w:pPr>
        <w:widowControl/>
        <w:shd w:val="clear" w:color="auto" w:fill="FFFFFF"/>
        <w:spacing w:line="360" w:lineRule="auto"/>
        <w:ind w:firstLine="563" w:firstLineChars="176"/>
        <w:jc w:val="left"/>
        <w:rPr>
          <w:rFonts w:ascii="宋体" w:hAnsi="宋体" w:eastAsia="宋体"/>
          <w:sz w:val="32"/>
          <w:szCs w:val="32"/>
        </w:rPr>
      </w:pPr>
      <w:r>
        <w:rPr>
          <w:rFonts w:hint="eastAsia" w:ascii="宋体" w:hAnsi="宋体" w:eastAsia="宋体" w:cs="宋体"/>
          <w:color w:val="000000"/>
          <w:kern w:val="0"/>
          <w:sz w:val="32"/>
          <w:szCs w:val="32"/>
        </w:rPr>
        <w:t>重点项目一：城乡居民医疗保险特殊人员个人缴费财政补助，预算资金857.21万元，2025年度绩效目标为巩固基本医疗保障成果，推进健康乡村建设，防止因病致贫返贫现象发生；设1条数量指标：</w:t>
      </w:r>
      <w:r>
        <w:rPr>
          <w:rFonts w:ascii="宋体" w:hAnsi="宋体" w:eastAsia="宋体" w:cs="宋体"/>
          <w:color w:val="000000"/>
          <w:kern w:val="0"/>
          <w:sz w:val="32"/>
          <w:szCs w:val="32"/>
        </w:rPr>
        <w:t>特殊人员参保人数</w:t>
      </w:r>
      <w:r>
        <w:rPr>
          <w:rFonts w:hint="eastAsia" w:ascii="宋体" w:hAnsi="宋体" w:eastAsia="宋体" w:cs="宋体"/>
          <w:color w:val="000000"/>
          <w:kern w:val="0"/>
          <w:sz w:val="32"/>
          <w:szCs w:val="32"/>
        </w:rPr>
        <w:t>；设1条质量指标：</w:t>
      </w:r>
      <w:r>
        <w:rPr>
          <w:rFonts w:ascii="宋体" w:hAnsi="宋体" w:eastAsia="宋体"/>
          <w:sz w:val="32"/>
          <w:szCs w:val="32"/>
        </w:rPr>
        <w:t>特殊人员参保率</w:t>
      </w:r>
      <w:r>
        <w:rPr>
          <w:rFonts w:hint="eastAsia" w:ascii="宋体" w:hAnsi="宋体" w:eastAsia="宋体"/>
          <w:sz w:val="32"/>
          <w:szCs w:val="32"/>
        </w:rPr>
        <w:t>；</w:t>
      </w:r>
      <w:r>
        <w:rPr>
          <w:rFonts w:hint="eastAsia" w:ascii="宋体" w:hAnsi="宋体" w:eastAsia="宋体" w:cs="宋体"/>
          <w:color w:val="000000"/>
          <w:kern w:val="0"/>
          <w:sz w:val="32"/>
          <w:szCs w:val="32"/>
        </w:rPr>
        <w:t>设1条时效指标：</w:t>
      </w:r>
      <w:r>
        <w:rPr>
          <w:rFonts w:ascii="宋体" w:hAnsi="宋体" w:eastAsia="宋体" w:cs="宋体"/>
          <w:color w:val="000000"/>
          <w:kern w:val="0"/>
          <w:sz w:val="32"/>
          <w:szCs w:val="32"/>
        </w:rPr>
        <w:t>符合资助对象收到个人缴费补助的时间</w:t>
      </w:r>
      <w:r>
        <w:rPr>
          <w:rFonts w:hint="eastAsia" w:ascii="宋体" w:hAnsi="宋体" w:eastAsia="宋体" w:cs="宋体"/>
          <w:color w:val="000000"/>
          <w:kern w:val="0"/>
          <w:sz w:val="32"/>
          <w:szCs w:val="32"/>
        </w:rPr>
        <w:t>；设1条成本指标：</w:t>
      </w:r>
      <w:r>
        <w:rPr>
          <w:rFonts w:ascii="宋体" w:hAnsi="宋体" w:eastAsia="宋体"/>
          <w:sz w:val="32"/>
          <w:szCs w:val="32"/>
        </w:rPr>
        <w:t>人均财政投入</w:t>
      </w:r>
      <w:r>
        <w:rPr>
          <w:rFonts w:hint="eastAsia" w:ascii="宋体" w:hAnsi="宋体" w:eastAsia="宋体"/>
          <w:sz w:val="32"/>
          <w:szCs w:val="32"/>
        </w:rPr>
        <w:t>；</w:t>
      </w:r>
      <w:r>
        <w:rPr>
          <w:rFonts w:hint="eastAsia" w:ascii="宋体" w:hAnsi="宋体" w:eastAsia="宋体" w:cs="宋体"/>
          <w:color w:val="000000"/>
          <w:kern w:val="0"/>
          <w:sz w:val="32"/>
          <w:szCs w:val="32"/>
        </w:rPr>
        <w:t>设1条社会效益指标：</w:t>
      </w:r>
      <w:r>
        <w:rPr>
          <w:rFonts w:ascii="宋体" w:hAnsi="宋体" w:eastAsia="宋体"/>
          <w:sz w:val="32"/>
          <w:szCs w:val="32"/>
        </w:rPr>
        <w:t>困难群众医疗负担减轻程度</w:t>
      </w:r>
      <w:r>
        <w:rPr>
          <w:rFonts w:hint="eastAsia" w:ascii="宋体" w:hAnsi="宋体" w:eastAsia="宋体"/>
          <w:sz w:val="32"/>
          <w:szCs w:val="32"/>
        </w:rPr>
        <w:t>；</w:t>
      </w:r>
      <w:r>
        <w:rPr>
          <w:rFonts w:hint="eastAsia" w:ascii="宋体" w:hAnsi="宋体" w:eastAsia="宋体" w:cs="宋体"/>
          <w:color w:val="000000"/>
          <w:kern w:val="0"/>
          <w:sz w:val="32"/>
          <w:szCs w:val="32"/>
        </w:rPr>
        <w:t>设1条服务对象满意度指标：</w:t>
      </w:r>
      <w:r>
        <w:rPr>
          <w:rFonts w:ascii="宋体" w:hAnsi="宋体" w:eastAsia="宋体"/>
          <w:sz w:val="32"/>
          <w:szCs w:val="32"/>
        </w:rPr>
        <w:t>特殊人群对医保政策满意度</w:t>
      </w:r>
      <w:r>
        <w:rPr>
          <w:rFonts w:hint="eastAsia" w:ascii="宋体" w:hAnsi="宋体" w:eastAsia="宋体"/>
          <w:sz w:val="32"/>
          <w:szCs w:val="32"/>
        </w:rPr>
        <w:t>。</w:t>
      </w:r>
    </w:p>
    <w:p w14:paraId="3AA98563">
      <w:pPr>
        <w:widowControl/>
        <w:shd w:val="clear" w:color="auto" w:fill="FFFFFF"/>
        <w:spacing w:line="360" w:lineRule="auto"/>
        <w:ind w:firstLine="563" w:firstLineChars="176"/>
        <w:jc w:val="left"/>
        <w:rPr>
          <w:rFonts w:ascii="宋体" w:hAnsi="宋体" w:eastAsia="宋体"/>
          <w:sz w:val="32"/>
          <w:szCs w:val="32"/>
        </w:rPr>
      </w:pPr>
      <w:r>
        <w:rPr>
          <w:rFonts w:hint="eastAsia" w:ascii="宋体" w:hAnsi="宋体" w:eastAsia="宋体" w:cs="宋体"/>
          <w:color w:val="000000"/>
          <w:kern w:val="0"/>
          <w:sz w:val="32"/>
          <w:szCs w:val="32"/>
        </w:rPr>
        <w:t>重点项目二：城乡居民医疗保险县级财政补助，预算资金809.95万元，2025年度绩效目标为巩固参保率，稳步提高保障水平，实现基金收支平衡；设1条数量指标：</w:t>
      </w:r>
      <w:r>
        <w:rPr>
          <w:rFonts w:ascii="宋体" w:hAnsi="宋体" w:eastAsia="宋体" w:cs="宋体"/>
          <w:color w:val="000000"/>
          <w:kern w:val="0"/>
          <w:sz w:val="32"/>
          <w:szCs w:val="32"/>
        </w:rPr>
        <w:t>参保人数</w:t>
      </w:r>
      <w:r>
        <w:rPr>
          <w:rFonts w:hint="eastAsia" w:ascii="宋体" w:hAnsi="宋体" w:eastAsia="宋体" w:cs="宋体"/>
          <w:color w:val="000000"/>
          <w:kern w:val="0"/>
          <w:sz w:val="32"/>
          <w:szCs w:val="32"/>
        </w:rPr>
        <w:t>；设1条质量指标：</w:t>
      </w:r>
      <w:r>
        <w:rPr>
          <w:rFonts w:ascii="宋体" w:hAnsi="宋体" w:eastAsia="宋体"/>
          <w:sz w:val="32"/>
          <w:szCs w:val="32"/>
        </w:rPr>
        <w:t>参保率</w:t>
      </w:r>
      <w:r>
        <w:rPr>
          <w:rFonts w:hint="eastAsia" w:ascii="宋体" w:hAnsi="宋体" w:eastAsia="宋体"/>
          <w:sz w:val="32"/>
          <w:szCs w:val="32"/>
        </w:rPr>
        <w:t>；</w:t>
      </w:r>
      <w:r>
        <w:rPr>
          <w:rFonts w:hint="eastAsia" w:ascii="宋体" w:hAnsi="宋体" w:eastAsia="宋体" w:cs="宋体"/>
          <w:color w:val="000000"/>
          <w:kern w:val="0"/>
          <w:sz w:val="32"/>
          <w:szCs w:val="32"/>
        </w:rPr>
        <w:t>设1条时效指标：</w:t>
      </w:r>
      <w:r>
        <w:rPr>
          <w:rFonts w:ascii="宋体" w:hAnsi="宋体" w:eastAsia="宋体" w:cs="宋体"/>
          <w:color w:val="000000"/>
          <w:kern w:val="0"/>
          <w:sz w:val="32"/>
          <w:szCs w:val="32"/>
        </w:rPr>
        <w:t>当年财政补助资金到位率</w:t>
      </w:r>
      <w:r>
        <w:rPr>
          <w:rFonts w:hint="eastAsia" w:ascii="宋体" w:hAnsi="宋体" w:eastAsia="宋体" w:cs="宋体"/>
          <w:color w:val="000000"/>
          <w:kern w:val="0"/>
          <w:sz w:val="32"/>
          <w:szCs w:val="32"/>
        </w:rPr>
        <w:t>；设1条成本指标：</w:t>
      </w:r>
      <w:r>
        <w:rPr>
          <w:rFonts w:ascii="宋体" w:hAnsi="宋体" w:eastAsia="宋体"/>
          <w:sz w:val="32"/>
          <w:szCs w:val="32"/>
        </w:rPr>
        <w:t>人均财政投入</w:t>
      </w:r>
      <w:r>
        <w:rPr>
          <w:rFonts w:hint="eastAsia" w:ascii="宋体" w:hAnsi="宋体" w:eastAsia="宋体"/>
          <w:sz w:val="32"/>
          <w:szCs w:val="32"/>
        </w:rPr>
        <w:t>；</w:t>
      </w:r>
      <w:r>
        <w:rPr>
          <w:rFonts w:hint="eastAsia" w:ascii="宋体" w:hAnsi="宋体" w:eastAsia="宋体" w:cs="宋体"/>
          <w:color w:val="000000"/>
          <w:kern w:val="0"/>
          <w:sz w:val="32"/>
          <w:szCs w:val="32"/>
        </w:rPr>
        <w:t>设1条社会效益指标：</w:t>
      </w:r>
      <w:r>
        <w:rPr>
          <w:rFonts w:ascii="宋体" w:hAnsi="宋体" w:eastAsia="宋体" w:cs="宋体"/>
          <w:color w:val="000000"/>
          <w:kern w:val="0"/>
          <w:sz w:val="32"/>
          <w:szCs w:val="32"/>
        </w:rPr>
        <w:t>基本医疗保障水平</w:t>
      </w:r>
      <w:r>
        <w:rPr>
          <w:rFonts w:hint="eastAsia" w:ascii="宋体" w:hAnsi="宋体" w:eastAsia="宋体"/>
          <w:sz w:val="32"/>
          <w:szCs w:val="32"/>
        </w:rPr>
        <w:t>；</w:t>
      </w:r>
      <w:r>
        <w:rPr>
          <w:rFonts w:hint="eastAsia" w:ascii="宋体" w:hAnsi="宋体" w:eastAsia="宋体" w:cs="宋体"/>
          <w:color w:val="000000"/>
          <w:kern w:val="0"/>
          <w:sz w:val="32"/>
          <w:szCs w:val="32"/>
        </w:rPr>
        <w:t>设1条服务对象满意度指标：</w:t>
      </w:r>
      <w:r>
        <w:rPr>
          <w:rFonts w:ascii="宋体" w:hAnsi="宋体" w:eastAsia="宋体"/>
          <w:sz w:val="32"/>
          <w:szCs w:val="32"/>
        </w:rPr>
        <w:t>参保对象满意度</w:t>
      </w:r>
      <w:r>
        <w:rPr>
          <w:rFonts w:hint="eastAsia" w:ascii="宋体" w:hAnsi="宋体" w:eastAsia="宋体"/>
          <w:sz w:val="32"/>
          <w:szCs w:val="32"/>
        </w:rPr>
        <w:t>。</w:t>
      </w:r>
    </w:p>
    <w:p w14:paraId="64528B18">
      <w:pPr>
        <w:widowControl/>
        <w:shd w:val="clear" w:color="auto" w:fill="FFFFFF"/>
        <w:spacing w:line="360" w:lineRule="auto"/>
        <w:ind w:firstLine="563" w:firstLineChars="176"/>
        <w:jc w:val="left"/>
        <w:rPr>
          <w:rFonts w:ascii="宋体" w:hAnsi="宋体" w:eastAsia="宋体"/>
          <w:sz w:val="32"/>
          <w:szCs w:val="32"/>
        </w:rPr>
      </w:pPr>
    </w:p>
    <w:p w14:paraId="4033D0F2">
      <w:pPr>
        <w:widowControl/>
        <w:shd w:val="clear" w:color="auto" w:fill="FFFFFF"/>
        <w:spacing w:line="360" w:lineRule="auto"/>
        <w:ind w:firstLine="563" w:firstLineChars="176"/>
        <w:jc w:val="left"/>
        <w:rPr>
          <w:rFonts w:ascii="宋体" w:hAnsi="宋体" w:eastAsia="宋体" w:cs="宋体"/>
          <w:color w:val="333333"/>
          <w:kern w:val="0"/>
          <w:sz w:val="32"/>
          <w:szCs w:val="32"/>
        </w:rPr>
      </w:pPr>
    </w:p>
    <w:p w14:paraId="3AC3D750">
      <w:pPr>
        <w:widowControl/>
        <w:shd w:val="clear" w:color="auto" w:fill="FFFFFF"/>
        <w:spacing w:line="360" w:lineRule="auto"/>
        <w:jc w:val="center"/>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第三部分：名词解释</w:t>
      </w:r>
    </w:p>
    <w:p w14:paraId="19F9B787">
      <w:pPr>
        <w:widowControl/>
        <w:shd w:val="clear" w:color="auto" w:fill="FFFFFF"/>
        <w:spacing w:line="360" w:lineRule="auto"/>
        <w:ind w:firstLine="425" w:firstLineChars="133"/>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color w:val="333333"/>
          <w:kern w:val="0"/>
          <w:sz w:val="32"/>
          <w:szCs w:val="32"/>
        </w:rPr>
        <w:t>一、财政拨款收入：</w:t>
      </w:r>
      <w:r>
        <w:rPr>
          <w:rFonts w:hint="eastAsia" w:ascii="宋体" w:hAnsi="宋体" w:eastAsia="宋体" w:cs="宋体"/>
          <w:color w:val="333333"/>
          <w:kern w:val="0"/>
          <w:sz w:val="32"/>
          <w:szCs w:val="32"/>
        </w:rPr>
        <w:t>指本级财政部门当年拨付的资金。  </w:t>
      </w:r>
    </w:p>
    <w:p w14:paraId="50E52A18">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color w:val="333333"/>
          <w:kern w:val="0"/>
          <w:sz w:val="32"/>
          <w:szCs w:val="32"/>
        </w:rPr>
        <w:t>二、基本支出：</w:t>
      </w:r>
      <w:r>
        <w:rPr>
          <w:rFonts w:hint="eastAsia" w:ascii="宋体" w:hAnsi="宋体" w:eastAsia="宋体" w:cs="宋体"/>
          <w:color w:val="333333"/>
          <w:kern w:val="0"/>
          <w:sz w:val="32"/>
          <w:szCs w:val="32"/>
        </w:rPr>
        <w:t>指为保障机构正常运转、完成日常工作任务而发生的人员支出和公用支出。 </w:t>
      </w:r>
    </w:p>
    <w:p w14:paraId="71D0622F">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color w:val="333333"/>
          <w:kern w:val="0"/>
          <w:sz w:val="32"/>
          <w:szCs w:val="32"/>
        </w:rPr>
        <w:t>三、项目支出：</w:t>
      </w:r>
      <w:r>
        <w:rPr>
          <w:rFonts w:hint="eastAsia" w:ascii="宋体" w:hAnsi="宋体" w:eastAsia="宋体" w:cs="宋体"/>
          <w:color w:val="333333"/>
          <w:kern w:val="0"/>
          <w:sz w:val="32"/>
          <w:szCs w:val="32"/>
        </w:rPr>
        <w:t>指在基本支出之外为完成特定行政任务和事业发展目标所发生的支出。    </w:t>
      </w:r>
    </w:p>
    <w:p w14:paraId="52F6B9A3">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color w:val="333333"/>
          <w:kern w:val="0"/>
          <w:sz w:val="32"/>
          <w:szCs w:val="32"/>
        </w:rPr>
        <w:t>四、“三公”经费：</w:t>
      </w:r>
      <w:r>
        <w:rPr>
          <w:rFonts w:hint="eastAsia" w:ascii="宋体" w:hAnsi="宋体" w:eastAsia="宋体" w:cs="宋体"/>
          <w:color w:val="333333"/>
          <w:kern w:val="0"/>
          <w:sz w:val="32"/>
          <w:szCs w:val="32"/>
        </w:rPr>
        <w:t>因公出国（境）费、公务用车购置及运行费和公务接待费简称为“三公”。其中，因公出国（境）费反映部门公务出国（境）的国际旅费、国外城市间交通费、住宿费、伙食费、培训费、公杂费等支出；公务用车购置及运行费反映部门公务用车车辆购置支出（含车辆购置税）及租用费、燃料费、维修费、过路过桥费、保险费、安全奖励费用等支出；公务接待费反映部门按规定开支的各类公务接待（含外宾接待）支出。 </w:t>
      </w:r>
    </w:p>
    <w:p w14:paraId="4472E0FB">
      <w:pPr>
        <w:widowControl/>
        <w:shd w:val="clear" w:color="auto" w:fill="FFFFFF"/>
        <w:spacing w:line="360" w:lineRule="auto"/>
        <w:ind w:firstLine="480"/>
        <w:jc w:val="left"/>
        <w:rPr>
          <w:rFonts w:ascii="宋体" w:hAnsi="宋体" w:eastAsia="宋体" w:cs="宋体"/>
          <w:color w:val="333333"/>
          <w:kern w:val="0"/>
          <w:sz w:val="32"/>
          <w:szCs w:val="32"/>
        </w:rPr>
      </w:pPr>
      <w:r>
        <w:rPr>
          <w:rFonts w:hint="eastAsia" w:ascii="宋体" w:hAnsi="宋体" w:eastAsia="宋体" w:cs="宋体"/>
          <w:b/>
          <w:color w:val="333333"/>
          <w:kern w:val="0"/>
          <w:sz w:val="32"/>
          <w:szCs w:val="32"/>
        </w:rPr>
        <w:t>五、机关运行经费：</w:t>
      </w:r>
      <w:r>
        <w:rPr>
          <w:rFonts w:hint="eastAsia" w:ascii="宋体" w:hAnsi="宋体" w:eastAsia="宋体" w:cs="宋体"/>
          <w:color w:val="333333"/>
          <w:kern w:val="0"/>
          <w:sz w:val="32"/>
          <w:szCs w:val="32"/>
        </w:rPr>
        <w:t>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5CAB5981">
      <w:pPr>
        <w:widowControl/>
        <w:shd w:val="clear" w:color="auto" w:fill="FFFFFF"/>
        <w:spacing w:line="360" w:lineRule="auto"/>
        <w:ind w:firstLine="480"/>
        <w:jc w:val="left"/>
        <w:rPr>
          <w:rFonts w:ascii="宋体" w:hAnsi="宋体" w:eastAsia="宋体" w:cs="宋体"/>
          <w:color w:val="333333"/>
          <w:kern w:val="0"/>
          <w:sz w:val="32"/>
          <w:szCs w:val="32"/>
        </w:rPr>
      </w:pPr>
    </w:p>
    <w:p w14:paraId="0A1EB0BA">
      <w:pPr>
        <w:spacing w:line="360" w:lineRule="auto"/>
        <w:ind w:firstLine="707" w:firstLineChars="220"/>
        <w:rPr>
          <w:rStyle w:val="12"/>
          <w:rFonts w:ascii="宋体" w:hAnsi="宋体" w:eastAsia="宋体"/>
          <w:b/>
          <w:bCs/>
          <w:color w:val="000000"/>
          <w:sz w:val="32"/>
          <w:szCs w:val="32"/>
        </w:rPr>
      </w:pPr>
      <w:r>
        <w:rPr>
          <w:rStyle w:val="12"/>
          <w:rFonts w:ascii="宋体" w:hAnsi="宋体" w:eastAsia="宋体"/>
          <w:b/>
          <w:color w:val="000000"/>
          <w:sz w:val="32"/>
          <w:szCs w:val="32"/>
        </w:rPr>
        <w:t>第</w:t>
      </w:r>
      <w:r>
        <w:rPr>
          <w:rStyle w:val="12"/>
          <w:rFonts w:hint="eastAsia" w:ascii="宋体" w:hAnsi="宋体" w:eastAsia="宋体"/>
          <w:b/>
          <w:color w:val="000000"/>
          <w:sz w:val="32"/>
          <w:szCs w:val="32"/>
        </w:rPr>
        <w:t>四</w:t>
      </w:r>
      <w:r>
        <w:rPr>
          <w:rStyle w:val="12"/>
          <w:rFonts w:ascii="宋体" w:hAnsi="宋体" w:eastAsia="宋体"/>
          <w:b/>
          <w:color w:val="000000"/>
          <w:sz w:val="32"/>
          <w:szCs w:val="32"/>
        </w:rPr>
        <w:t>部分：</w:t>
      </w:r>
      <w:r>
        <w:rPr>
          <w:rStyle w:val="12"/>
          <w:rFonts w:hint="eastAsia" w:ascii="宋体" w:hAnsi="宋体" w:eastAsia="宋体"/>
          <w:b/>
          <w:color w:val="000000"/>
          <w:sz w:val="32"/>
          <w:szCs w:val="32"/>
        </w:rPr>
        <w:t>融安县医疗保障局</w:t>
      </w:r>
      <w:r>
        <w:rPr>
          <w:rStyle w:val="12"/>
          <w:rFonts w:ascii="宋体" w:hAnsi="宋体" w:eastAsia="宋体"/>
          <w:b/>
          <w:color w:val="000000"/>
          <w:sz w:val="32"/>
          <w:szCs w:val="32"/>
        </w:rPr>
        <w:t>202</w:t>
      </w:r>
      <w:r>
        <w:rPr>
          <w:rStyle w:val="12"/>
          <w:rFonts w:hint="eastAsia" w:ascii="宋体" w:hAnsi="宋体" w:eastAsia="宋体"/>
          <w:b/>
          <w:color w:val="000000"/>
          <w:sz w:val="32"/>
          <w:szCs w:val="32"/>
        </w:rPr>
        <w:t>5</w:t>
      </w:r>
      <w:r>
        <w:rPr>
          <w:rStyle w:val="12"/>
          <w:rFonts w:ascii="宋体" w:hAnsi="宋体" w:eastAsia="宋体"/>
          <w:b/>
          <w:color w:val="000000"/>
          <w:sz w:val="32"/>
          <w:szCs w:val="32"/>
        </w:rPr>
        <w:t>年预算</w:t>
      </w:r>
      <w:r>
        <w:rPr>
          <w:rStyle w:val="12"/>
          <w:rFonts w:hint="eastAsia" w:ascii="宋体" w:hAnsi="宋体" w:eastAsia="宋体"/>
          <w:b/>
          <w:color w:val="000000"/>
          <w:sz w:val="32"/>
          <w:szCs w:val="32"/>
        </w:rPr>
        <w:t>公开报</w:t>
      </w:r>
      <w:r>
        <w:rPr>
          <w:rStyle w:val="12"/>
          <w:rFonts w:ascii="宋体" w:hAnsi="宋体" w:eastAsia="宋体"/>
          <w:b/>
          <w:color w:val="000000"/>
          <w:sz w:val="32"/>
          <w:szCs w:val="32"/>
        </w:rPr>
        <w:t>表</w:t>
      </w:r>
    </w:p>
    <w:p w14:paraId="076C791E">
      <w:pPr>
        <w:widowControl/>
        <w:shd w:val="clear" w:color="auto" w:fill="FFFFFF"/>
        <w:spacing w:line="360" w:lineRule="auto"/>
        <w:ind w:firstLine="480"/>
        <w:jc w:val="left"/>
        <w:rPr>
          <w:rFonts w:ascii="宋体" w:hAnsi="宋体" w:eastAsia="宋体" w:cs="宋体"/>
          <w:color w:val="333333"/>
          <w:kern w:val="0"/>
          <w:sz w:val="32"/>
          <w:szCs w:val="32"/>
        </w:rPr>
      </w:pPr>
    </w:p>
    <w:p w14:paraId="3EA616CA">
      <w:pPr>
        <w:widowControl/>
        <w:shd w:val="clear" w:color="auto" w:fill="FFFFFF"/>
        <w:spacing w:line="440" w:lineRule="atLeast"/>
        <w:jc w:val="left"/>
        <w:rPr>
          <w:rFonts w:ascii="宋体" w:hAnsi="宋体" w:eastAsia="宋体" w:cs="宋体"/>
          <w:color w:val="000000" w:themeColor="text1"/>
          <w:kern w:val="0"/>
          <w:sz w:val="32"/>
          <w:szCs w:val="32"/>
        </w:rPr>
      </w:pPr>
      <w:r>
        <w:fldChar w:fldCharType="begin"/>
      </w:r>
      <w:r>
        <w:instrText xml:space="preserve"> HYPERLINK "http://www.rongan.gov.cn/xxgk/zdxxgk/yjsgkpt/bmys/bmys2020/202004/W020200422380397059975.xls" </w:instrText>
      </w:r>
      <w:r>
        <w:fldChar w:fldCharType="separate"/>
      </w:r>
      <w:r>
        <w:rPr>
          <w:rFonts w:hint="eastAsia" w:ascii="宋体" w:hAnsi="宋体" w:eastAsia="宋体" w:cs="宋体"/>
          <w:color w:val="000000" w:themeColor="text1"/>
          <w:kern w:val="0"/>
          <w:sz w:val="32"/>
          <w:szCs w:val="32"/>
        </w:rPr>
        <w:t>附件：融安县医疗保障局2025年部门预算公开表</w:t>
      </w:r>
      <w:r>
        <w:rPr>
          <w:rFonts w:hint="eastAsia" w:ascii="宋体" w:hAnsi="宋体" w:eastAsia="宋体" w:cs="宋体"/>
          <w:color w:val="000000" w:themeColor="text1"/>
          <w:kern w:val="0"/>
          <w:sz w:val="32"/>
          <w:szCs w:val="32"/>
        </w:rPr>
        <w:fldChar w:fldCharType="end"/>
      </w:r>
    </w:p>
    <w:p w14:paraId="51DF541C"/>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hakuyoxingshu7000"/>
    <w:panose1 w:val="00000000000000000000"/>
    <w:charset w:val="86"/>
    <w:family w:val="auto"/>
    <w:pitch w:val="default"/>
    <w:sig w:usb0="00000000" w:usb1="00000000" w:usb2="00000010" w:usb3="00000000" w:csb0="0004009F" w:csb1="00000000"/>
  </w:font>
  <w:font w:name="hakuyoxingshu7000">
    <w:panose1 w:val="02000600000000000000"/>
    <w:charset w:val="86"/>
    <w:family w:val="auto"/>
    <w:pitch w:val="default"/>
    <w:sig w:usb0="FFFFFFFF" w:usb1="E9FFFFFF" w:usb2="0000003F" w:usb3="00000000" w:csb0="603F00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226BF"/>
    <w:multiLevelType w:val="multilevel"/>
    <w:tmpl w:val="66E226BF"/>
    <w:lvl w:ilvl="0" w:tentative="0">
      <w:start w:val="1"/>
      <w:numFmt w:val="decimal"/>
      <w:lvlText w:val="%1、"/>
      <w:lvlJc w:val="left"/>
      <w:pPr>
        <w:ind w:left="1855" w:hanging="720"/>
      </w:pPr>
      <w:rPr>
        <w:rFonts w:hint="default"/>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64FC"/>
    <w:rsid w:val="00005209"/>
    <w:rsid w:val="0004450C"/>
    <w:rsid w:val="00073957"/>
    <w:rsid w:val="000750DF"/>
    <w:rsid w:val="00084A88"/>
    <w:rsid w:val="000B269C"/>
    <w:rsid w:val="000B3A1C"/>
    <w:rsid w:val="000B634F"/>
    <w:rsid w:val="000C61D7"/>
    <w:rsid w:val="000D5B83"/>
    <w:rsid w:val="000F02D2"/>
    <w:rsid w:val="000F2EF3"/>
    <w:rsid w:val="001007AE"/>
    <w:rsid w:val="00101EDE"/>
    <w:rsid w:val="00105B49"/>
    <w:rsid w:val="001073FD"/>
    <w:rsid w:val="00132214"/>
    <w:rsid w:val="00145541"/>
    <w:rsid w:val="001645D4"/>
    <w:rsid w:val="00167F38"/>
    <w:rsid w:val="00175ABF"/>
    <w:rsid w:val="00176840"/>
    <w:rsid w:val="00185CBE"/>
    <w:rsid w:val="001A02EE"/>
    <w:rsid w:val="001A0545"/>
    <w:rsid w:val="001A542D"/>
    <w:rsid w:val="001C223A"/>
    <w:rsid w:val="001D4DC6"/>
    <w:rsid w:val="001D55E8"/>
    <w:rsid w:val="001F7D8D"/>
    <w:rsid w:val="00203CA9"/>
    <w:rsid w:val="002276A4"/>
    <w:rsid w:val="00233C3D"/>
    <w:rsid w:val="0023555B"/>
    <w:rsid w:val="00266A32"/>
    <w:rsid w:val="00266DC2"/>
    <w:rsid w:val="00271708"/>
    <w:rsid w:val="00280F9F"/>
    <w:rsid w:val="002D28AB"/>
    <w:rsid w:val="002D3694"/>
    <w:rsid w:val="002E0547"/>
    <w:rsid w:val="002F26EB"/>
    <w:rsid w:val="00324FBE"/>
    <w:rsid w:val="00331641"/>
    <w:rsid w:val="00353D34"/>
    <w:rsid w:val="00383715"/>
    <w:rsid w:val="00392C4B"/>
    <w:rsid w:val="0039304D"/>
    <w:rsid w:val="003938E1"/>
    <w:rsid w:val="003A4456"/>
    <w:rsid w:val="003C1EF9"/>
    <w:rsid w:val="003C479F"/>
    <w:rsid w:val="003C7E20"/>
    <w:rsid w:val="003E4C15"/>
    <w:rsid w:val="003F6B28"/>
    <w:rsid w:val="00412986"/>
    <w:rsid w:val="00414CA0"/>
    <w:rsid w:val="00420E95"/>
    <w:rsid w:val="004520C9"/>
    <w:rsid w:val="00462D6A"/>
    <w:rsid w:val="00483BC8"/>
    <w:rsid w:val="004A44F9"/>
    <w:rsid w:val="004C2DDB"/>
    <w:rsid w:val="004F254C"/>
    <w:rsid w:val="00501C40"/>
    <w:rsid w:val="00533650"/>
    <w:rsid w:val="0054279E"/>
    <w:rsid w:val="005434DB"/>
    <w:rsid w:val="00550232"/>
    <w:rsid w:val="005522BE"/>
    <w:rsid w:val="00552D74"/>
    <w:rsid w:val="0056322C"/>
    <w:rsid w:val="00565F35"/>
    <w:rsid w:val="00571DBB"/>
    <w:rsid w:val="00580D53"/>
    <w:rsid w:val="00582090"/>
    <w:rsid w:val="00582D46"/>
    <w:rsid w:val="005A1495"/>
    <w:rsid w:val="005A1E76"/>
    <w:rsid w:val="005A5880"/>
    <w:rsid w:val="005B122C"/>
    <w:rsid w:val="005B7C2D"/>
    <w:rsid w:val="005E60C9"/>
    <w:rsid w:val="00623CC8"/>
    <w:rsid w:val="00641555"/>
    <w:rsid w:val="006571BB"/>
    <w:rsid w:val="006813AC"/>
    <w:rsid w:val="0068169F"/>
    <w:rsid w:val="006932A7"/>
    <w:rsid w:val="006A41A6"/>
    <w:rsid w:val="006A53FF"/>
    <w:rsid w:val="006B7F97"/>
    <w:rsid w:val="006C3E8A"/>
    <w:rsid w:val="006D0701"/>
    <w:rsid w:val="006E7ADF"/>
    <w:rsid w:val="00731B94"/>
    <w:rsid w:val="0073670A"/>
    <w:rsid w:val="00750AA8"/>
    <w:rsid w:val="00764CA7"/>
    <w:rsid w:val="007910BF"/>
    <w:rsid w:val="007B0CE6"/>
    <w:rsid w:val="007B3924"/>
    <w:rsid w:val="007B4003"/>
    <w:rsid w:val="007E644B"/>
    <w:rsid w:val="00833353"/>
    <w:rsid w:val="00867CF4"/>
    <w:rsid w:val="008703D1"/>
    <w:rsid w:val="00870F1B"/>
    <w:rsid w:val="00874135"/>
    <w:rsid w:val="00885179"/>
    <w:rsid w:val="008A18EF"/>
    <w:rsid w:val="008B10C1"/>
    <w:rsid w:val="008B16FC"/>
    <w:rsid w:val="008B472C"/>
    <w:rsid w:val="008F0402"/>
    <w:rsid w:val="008F23F0"/>
    <w:rsid w:val="00901F34"/>
    <w:rsid w:val="009120A4"/>
    <w:rsid w:val="00931420"/>
    <w:rsid w:val="00973680"/>
    <w:rsid w:val="009869ED"/>
    <w:rsid w:val="009B1D5E"/>
    <w:rsid w:val="009C2508"/>
    <w:rsid w:val="009D0BD0"/>
    <w:rsid w:val="009F2EB1"/>
    <w:rsid w:val="009F6D7C"/>
    <w:rsid w:val="00A148F3"/>
    <w:rsid w:val="00A16AAA"/>
    <w:rsid w:val="00A224A7"/>
    <w:rsid w:val="00A312EB"/>
    <w:rsid w:val="00A4184A"/>
    <w:rsid w:val="00A42648"/>
    <w:rsid w:val="00A50BD6"/>
    <w:rsid w:val="00A522B3"/>
    <w:rsid w:val="00A55722"/>
    <w:rsid w:val="00A561F2"/>
    <w:rsid w:val="00A719A6"/>
    <w:rsid w:val="00A75EF0"/>
    <w:rsid w:val="00A7796E"/>
    <w:rsid w:val="00A82687"/>
    <w:rsid w:val="00A86B31"/>
    <w:rsid w:val="00A928BB"/>
    <w:rsid w:val="00A9662A"/>
    <w:rsid w:val="00AA409D"/>
    <w:rsid w:val="00AB00E7"/>
    <w:rsid w:val="00AC326A"/>
    <w:rsid w:val="00AD76FD"/>
    <w:rsid w:val="00AE3953"/>
    <w:rsid w:val="00AF7408"/>
    <w:rsid w:val="00B06272"/>
    <w:rsid w:val="00B231CA"/>
    <w:rsid w:val="00B357DC"/>
    <w:rsid w:val="00B52D44"/>
    <w:rsid w:val="00B675AB"/>
    <w:rsid w:val="00B75EEA"/>
    <w:rsid w:val="00B836BF"/>
    <w:rsid w:val="00B96FE9"/>
    <w:rsid w:val="00BB39E0"/>
    <w:rsid w:val="00BC3D33"/>
    <w:rsid w:val="00BC71D0"/>
    <w:rsid w:val="00BD7B49"/>
    <w:rsid w:val="00BE496F"/>
    <w:rsid w:val="00BF5210"/>
    <w:rsid w:val="00BF7060"/>
    <w:rsid w:val="00C16D08"/>
    <w:rsid w:val="00C33907"/>
    <w:rsid w:val="00C339C6"/>
    <w:rsid w:val="00C4332B"/>
    <w:rsid w:val="00C54C5E"/>
    <w:rsid w:val="00C864FC"/>
    <w:rsid w:val="00C95AF6"/>
    <w:rsid w:val="00CA24E5"/>
    <w:rsid w:val="00CB7B02"/>
    <w:rsid w:val="00CC657A"/>
    <w:rsid w:val="00CE3578"/>
    <w:rsid w:val="00CE4492"/>
    <w:rsid w:val="00CF2D9D"/>
    <w:rsid w:val="00D0236D"/>
    <w:rsid w:val="00D263AD"/>
    <w:rsid w:val="00D278C2"/>
    <w:rsid w:val="00D3418D"/>
    <w:rsid w:val="00D3582C"/>
    <w:rsid w:val="00D52DCA"/>
    <w:rsid w:val="00D66588"/>
    <w:rsid w:val="00D87984"/>
    <w:rsid w:val="00D879B5"/>
    <w:rsid w:val="00D96877"/>
    <w:rsid w:val="00DC6F24"/>
    <w:rsid w:val="00DD0C96"/>
    <w:rsid w:val="00DD5DAD"/>
    <w:rsid w:val="00DF3D4D"/>
    <w:rsid w:val="00DF4F62"/>
    <w:rsid w:val="00DF7A71"/>
    <w:rsid w:val="00E35B2B"/>
    <w:rsid w:val="00E42525"/>
    <w:rsid w:val="00E6130E"/>
    <w:rsid w:val="00E6794B"/>
    <w:rsid w:val="00E801A8"/>
    <w:rsid w:val="00E871C8"/>
    <w:rsid w:val="00E877B7"/>
    <w:rsid w:val="00EB0BE9"/>
    <w:rsid w:val="00EC2E35"/>
    <w:rsid w:val="00EC4F44"/>
    <w:rsid w:val="00EC5AEE"/>
    <w:rsid w:val="00EC62A5"/>
    <w:rsid w:val="00ED2889"/>
    <w:rsid w:val="00F07601"/>
    <w:rsid w:val="00F121D2"/>
    <w:rsid w:val="00F25BF5"/>
    <w:rsid w:val="00F34102"/>
    <w:rsid w:val="00F37286"/>
    <w:rsid w:val="00F413D4"/>
    <w:rsid w:val="00F535D8"/>
    <w:rsid w:val="00F613A2"/>
    <w:rsid w:val="00F652E4"/>
    <w:rsid w:val="00F66082"/>
    <w:rsid w:val="00F74647"/>
    <w:rsid w:val="00F95804"/>
    <w:rsid w:val="00FD61DF"/>
    <w:rsid w:val="00FE2166"/>
    <w:rsid w:val="00FE3988"/>
    <w:rsid w:val="00FF7762"/>
    <w:rsid w:val="71F92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0"/>
    <w:rPr>
      <w:rFonts w:cs="Times New Roman"/>
      <w:b/>
      <w:bCs/>
    </w:rPr>
  </w:style>
  <w:style w:type="character" w:customStyle="1" w:styleId="9">
    <w:name w:val="标题 1 Char"/>
    <w:basedOn w:val="7"/>
    <w:link w:val="2"/>
    <w:uiPriority w:val="9"/>
    <w:rPr>
      <w:rFonts w:ascii="宋体" w:hAnsi="宋体" w:eastAsia="宋体" w:cs="宋体"/>
      <w:b/>
      <w:bCs/>
      <w:kern w:val="36"/>
      <w:sz w:val="48"/>
      <w:szCs w:val="48"/>
    </w:rPr>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uiPriority w:val="99"/>
    <w:rPr>
      <w:sz w:val="18"/>
      <w:szCs w:val="18"/>
    </w:rPr>
  </w:style>
  <w:style w:type="character" w:customStyle="1" w:styleId="12">
    <w:name w:val="NormalCharacter"/>
    <w:semiHidden/>
    <w:uiPriority w:val="0"/>
  </w:style>
  <w:style w:type="paragraph" w:customStyle="1" w:styleId="13">
    <w:name w:val="HtmlNormal"/>
    <w:basedOn w:val="1"/>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paragraph" w:styleId="14">
    <w:name w:val="List Paragraph"/>
    <w:basedOn w:val="1"/>
    <w:qFormat/>
    <w:uiPriority w:val="34"/>
    <w:pPr>
      <w:ind w:firstLine="420" w:firstLineChars="200"/>
    </w:pPr>
  </w:style>
  <w:style w:type="character" w:customStyle="1" w:styleId="15">
    <w:name w:val="c"/>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3811</Words>
  <Characters>4576</Characters>
  <Lines>34</Lines>
  <Paragraphs>9</Paragraphs>
  <TotalTime>386</TotalTime>
  <ScaleCrop>false</ScaleCrop>
  <LinksUpToDate>false</LinksUpToDate>
  <CharactersWithSpaces>4629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2024-03-04T03:10:00Z</dcterms:created>
  <dc:creator>Administrator</dc:creator>
  <cp:lastModifiedBy>WPS_1630303915</cp:lastModifiedBy>
  <dcterms:modified xsi:type="dcterms:W3CDTF">2026-06-17T03:06:29Z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eyJoZGlkIjoiZWVkZmZkNjBiN2FhYzIzNTRlNDRjZDEzMmU4YTVhNDYiLCJ1c2VySWQiOiIxMjYyNTc1MTI4In0=</vt:lpwstr>
  </property>
  <property fmtid="{D5CDD505-2E9C-101B-9397-08002B2CF9AE}" pid="3" name="KSOProductBuildVer">
    <vt:lpwstr>2052-12.1.0.26895</vt:lpwstr>
  </property>
  <property fmtid="{D5CDD505-2E9C-101B-9397-08002B2CF9AE}" pid="4" name="ICV">
    <vt:lpwstr>D3BD963C22C5446D8BD4FDCCA385909C_12</vt:lpwstr>
  </property>
</Properties>
</file>