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经营收入：指事业单位在专业业务活动及其辅助活动之外开展非独立核算经营活动取得的收入。</w:t>
      </w:r>
    </w:p>
    <w:p>
      <w:pPr>
        <w:rPr>
          <w:rFonts w:hint="eastAsia"/>
        </w:rPr>
      </w:pPr>
      <w:r>
        <w:rPr>
          <w:rFonts w:hint="eastAsia"/>
        </w:rPr>
        <w:t>附属单位上缴收入：指事业单位附属的独立核算单</w:t>
      </w:r>
    </w:p>
    <w:p>
      <w:pPr>
        <w:rPr>
          <w:rFonts w:hint="eastAsia"/>
        </w:rPr>
      </w:pPr>
      <w:r>
        <w:rPr>
          <w:rFonts w:hint="eastAsia"/>
        </w:rPr>
        <w:t>位按有关规定上缴的收入。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TimesNewRomanPSMT">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9F35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2017-10-26T02:43:02Z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