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 xml:space="preserve">第四部分：2017年部门预算其他事项说明 </w:t>
      </w:r>
      <w:r>
        <w:rPr>
          <w:rFonts w:hint="eastAsia" w:ascii="仿宋" w:hAnsi="仿宋" w:eastAsia="仿宋" w:cs="仿宋"/>
          <w:color w:val="000000"/>
          <w:kern w:val="0"/>
          <w:sz w:val="28"/>
          <w:szCs w:val="28"/>
        </w:rPr>
        <w:t xml:space="preserve">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（一）</w:t>
      </w:r>
      <w:r>
        <w:rPr>
          <w:rFonts w:hint="eastAsia" w:ascii="仿宋" w:hAnsi="仿宋" w:eastAsia="仿宋" w:cs="仿宋"/>
          <w:color w:val="000000"/>
          <w:kern w:val="0"/>
          <w:sz w:val="28"/>
          <w:szCs w:val="28"/>
          <w:lang w:eastAsia="zh-CN"/>
        </w:rPr>
        <w:t>大将镇政府</w:t>
      </w:r>
      <w:r>
        <w:rPr>
          <w:rFonts w:hint="eastAsia" w:ascii="仿宋" w:hAnsi="仿宋" w:eastAsia="仿宋" w:cs="仿宋"/>
          <w:color w:val="000000"/>
          <w:kern w:val="0"/>
          <w:sz w:val="28"/>
          <w:szCs w:val="28"/>
        </w:rPr>
        <w:t xml:space="preserve">运行经费预算安排情况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行政运行</w:t>
      </w:r>
      <w:r>
        <w:rPr>
          <w:rFonts w:hint="eastAsia" w:ascii="仿宋" w:hAnsi="仿宋" w:eastAsia="仿宋" w:cs="仿宋"/>
          <w:color w:val="000000" w:themeColor="text1"/>
          <w:kern w:val="0"/>
          <w:sz w:val="28"/>
          <w:szCs w:val="28"/>
          <w:lang w:val="en-US" w:eastAsia="zh-CN"/>
          <w14:textFill>
            <w14:solidFill>
              <w14:schemeClr w14:val="tx1"/>
            </w14:solidFill>
          </w14:textFill>
        </w:rPr>
        <w:t>515.47</w:t>
      </w:r>
      <w:r>
        <w:rPr>
          <w:rFonts w:hint="eastAsia" w:ascii="仿宋" w:hAnsi="仿宋" w:eastAsia="仿宋" w:cs="仿宋"/>
          <w:color w:val="000000"/>
          <w:kern w:val="0"/>
          <w:sz w:val="28"/>
          <w:szCs w:val="28"/>
        </w:rPr>
        <w:t>万元，全部是基本支出预算。主要用于</w:t>
      </w:r>
      <w:r>
        <w:rPr>
          <w:rFonts w:hint="eastAsia" w:ascii="仿宋" w:hAnsi="仿宋" w:eastAsia="仿宋" w:cs="仿宋"/>
          <w:color w:val="000000"/>
          <w:kern w:val="0"/>
          <w:sz w:val="28"/>
          <w:szCs w:val="28"/>
          <w:lang w:eastAsia="zh-CN"/>
        </w:rPr>
        <w:t>政府</w:t>
      </w:r>
      <w:r>
        <w:rPr>
          <w:rFonts w:hint="eastAsia" w:ascii="仿宋" w:hAnsi="仿宋" w:eastAsia="仿宋" w:cs="仿宋"/>
          <w:color w:val="000000"/>
          <w:kern w:val="0"/>
          <w:sz w:val="28"/>
          <w:szCs w:val="28"/>
        </w:rPr>
        <w:t xml:space="preserve">机关为保证日常运转发生的基本支出。如根据国家规定的基本工资和津补贴标准等安排的人员经费支出、按自治区统一规定的开支标准安排的办公费、印刷费、水电费、培训费、差旅费、会议费等日常公用经费支出。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（二）政府采购预算安排情况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2017年政府采购预算</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xml:space="preserve"> 万元，同比增加</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万元，增长</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xml:space="preserve">%，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政府采购资金类型：公共财政预算拨款</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xml:space="preserve"> 万元，上年结余收入安排资金</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xml:space="preserve">万元。 </w:t>
      </w:r>
    </w:p>
    <w:p>
      <w:pPr>
        <w:widowControl/>
        <w:spacing w:line="540" w:lineRule="atLeast"/>
        <w:ind w:firstLine="56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按政府采购项目类型分为货物类采购、工程类采购和服务类采购三种类型。货物类采购预算</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万元，服务类采购预算</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万元，工程类采购预算</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 xml:space="preserve">万元。 </w:t>
      </w:r>
    </w:p>
    <w:p>
      <w:pPr>
        <w:rPr>
          <w:rFonts w:hint="eastAsia" w:ascii="仿宋" w:hAnsi="仿宋" w:eastAsia="仿宋" w:cs="仿宋"/>
          <w:sz w:val="28"/>
          <w:szCs w:val="28"/>
          <w:lang w:eastAsia="zh-CN"/>
        </w:rPr>
      </w:pPr>
    </w:p>
    <w:p>
      <w:pPr>
        <w:rPr>
          <w:rFonts w:hint="eastAsia" w:ascii="仿宋" w:hAnsi="仿宋" w:eastAsia="仿宋" w:cs="仿宋"/>
          <w:sz w:val="28"/>
          <w:szCs w:val="28"/>
          <w:lang w:eastAsia="zh-CN"/>
        </w:rPr>
      </w:pPr>
      <w:r>
        <w:rPr>
          <w:rFonts w:hint="eastAsia" w:ascii="仿宋" w:hAnsi="仿宋" w:eastAsia="仿宋" w:cs="仿宋"/>
          <w:sz w:val="28"/>
          <w:szCs w:val="28"/>
          <w:lang w:eastAsia="zh-CN"/>
        </w:rPr>
        <w:t>名词解释：</w:t>
      </w:r>
    </w:p>
    <w:p>
      <w:pPr>
        <w:numPr>
          <w:ilvl w:val="0"/>
          <w:numId w:val="1"/>
        </w:numPr>
        <w:rPr>
          <w:rFonts w:hint="eastAsia" w:ascii="仿宋_GB2312" w:eastAsia="仿宋_GB2312" w:cs="仿宋_GB2312"/>
          <w:kern w:val="0"/>
          <w:sz w:val="32"/>
          <w:szCs w:val="32"/>
        </w:rPr>
      </w:pPr>
      <w:r>
        <w:rPr>
          <w:rFonts w:hint="eastAsia" w:ascii="仿宋_GB2312" w:eastAsia="仿宋_GB2312" w:cs="仿宋_GB2312"/>
          <w:kern w:val="0"/>
          <w:sz w:val="32"/>
          <w:szCs w:val="32"/>
        </w:rPr>
        <w:t>财政拨款收入：指中央财政当年拨付的资金。</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其他收入：指除上述“财政拨款收入”、“事业收</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入”、“经营收入”、“附属单位上缴收入”等以外的收入。</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主要是投资收益、事业单位固定资产出租出借收入、存款利</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息收入等。</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年初结转和结余：指以前年度尚未完成、结转到本</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年按有关规定继续使用的资金，或项目已完成等产生的结余</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资金。</w:t>
      </w:r>
    </w:p>
    <w:p>
      <w:r>
        <w:br w:type="page"/>
      </w:r>
    </w:p>
    <w:tbl>
      <w:tblPr>
        <w:tblW w:w="11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82"/>
        <w:gridCol w:w="812"/>
        <w:gridCol w:w="6528"/>
        <w:gridCol w:w="1621"/>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11848" w:type="dxa"/>
            <w:gridSpan w:val="5"/>
            <w:shd w:val="clear" w:color="auto" w:fill="FFFFFF"/>
            <w:vAlign w:val="center"/>
          </w:tcPr>
          <w:p>
            <w:pPr>
              <w:keepNext w:val="0"/>
              <w:keepLines w:val="0"/>
              <w:widowControl/>
              <w:suppressLineNumbers w:val="0"/>
              <w:jc w:val="center"/>
              <w:textAlignment w:val="center"/>
              <w:rPr>
                <w:rFonts w:ascii="黑体" w:hAnsi="宋体" w:eastAsia="黑体" w:cs="黑体"/>
                <w:b/>
                <w:i w:val="0"/>
                <w:color w:val="000000"/>
                <w:sz w:val="36"/>
                <w:szCs w:val="36"/>
                <w:u w:val="none"/>
              </w:rPr>
            </w:pPr>
            <w:r>
              <w:rPr>
                <w:rFonts w:hint="eastAsia" w:ascii="黑体" w:hAnsi="宋体" w:eastAsia="黑体" w:cs="黑体"/>
                <w:b/>
                <w:i w:val="0"/>
                <w:color w:val="000000"/>
                <w:kern w:val="0"/>
                <w:sz w:val="36"/>
                <w:szCs w:val="36"/>
                <w:u w:val="none"/>
                <w:lang w:val="en-US" w:eastAsia="zh-CN" w:bidi="ar"/>
              </w:rPr>
              <w:t>2017年度部门预算公开情况检查表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1282" w:type="dxa"/>
            <w:shd w:val="clear" w:color="auto" w:fill="FFFFFF"/>
            <w:vAlign w:val="center"/>
          </w:tcPr>
          <w:p>
            <w:pPr>
              <w:jc w:val="center"/>
              <w:rPr>
                <w:rFonts w:hint="eastAsia" w:ascii="黑体" w:hAnsi="宋体" w:eastAsia="黑体" w:cs="黑体"/>
                <w:b/>
                <w:i w:val="0"/>
                <w:color w:val="000000"/>
                <w:sz w:val="36"/>
                <w:szCs w:val="36"/>
                <w:u w:val="none"/>
              </w:rPr>
            </w:pPr>
          </w:p>
        </w:tc>
        <w:tc>
          <w:tcPr>
            <w:tcW w:w="812" w:type="dxa"/>
            <w:shd w:val="clear" w:color="auto" w:fill="FFFFFF"/>
            <w:vAlign w:val="center"/>
          </w:tcPr>
          <w:p>
            <w:pPr>
              <w:jc w:val="center"/>
              <w:rPr>
                <w:rFonts w:hint="eastAsia" w:ascii="黑体" w:hAnsi="宋体" w:eastAsia="黑体" w:cs="黑体"/>
                <w:b/>
                <w:i w:val="0"/>
                <w:color w:val="000000"/>
                <w:sz w:val="36"/>
                <w:szCs w:val="36"/>
                <w:u w:val="none"/>
              </w:rPr>
            </w:pPr>
          </w:p>
        </w:tc>
        <w:tc>
          <w:tcPr>
            <w:tcW w:w="6528" w:type="dxa"/>
            <w:shd w:val="clear" w:color="auto" w:fill="FFFFFF"/>
            <w:vAlign w:val="center"/>
          </w:tcPr>
          <w:p>
            <w:pPr>
              <w:jc w:val="center"/>
              <w:rPr>
                <w:rFonts w:hint="eastAsia" w:ascii="黑体" w:hAnsi="宋体" w:eastAsia="黑体" w:cs="黑体"/>
                <w:b/>
                <w:i w:val="0"/>
                <w:color w:val="000000"/>
                <w:sz w:val="36"/>
                <w:szCs w:val="36"/>
                <w:u w:val="none"/>
              </w:rPr>
            </w:pPr>
          </w:p>
        </w:tc>
        <w:tc>
          <w:tcPr>
            <w:tcW w:w="1621" w:type="dxa"/>
            <w:shd w:val="clear" w:color="auto" w:fill="FFFFFF"/>
            <w:vAlign w:val="center"/>
          </w:tcPr>
          <w:p>
            <w:pPr>
              <w:jc w:val="center"/>
              <w:rPr>
                <w:rFonts w:hint="eastAsia" w:ascii="黑体" w:hAnsi="宋体" w:eastAsia="黑体" w:cs="黑体"/>
                <w:b/>
                <w:i w:val="0"/>
                <w:color w:val="000000"/>
                <w:sz w:val="36"/>
                <w:szCs w:val="36"/>
                <w:u w:val="none"/>
              </w:rPr>
            </w:pPr>
          </w:p>
        </w:tc>
        <w:tc>
          <w:tcPr>
            <w:tcW w:w="1605" w:type="dxa"/>
            <w:shd w:val="clear" w:color="auto" w:fill="FFFFFF"/>
            <w:vAlign w:val="center"/>
          </w:tcPr>
          <w:p>
            <w:pPr>
              <w:jc w:val="center"/>
              <w:rPr>
                <w:rFonts w:hint="eastAsia" w:ascii="黑体" w:hAnsi="宋体" w:eastAsia="黑体" w:cs="黑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被查单位名称（盖章）：  </w:t>
            </w:r>
          </w:p>
        </w:tc>
        <w:tc>
          <w:tcPr>
            <w:tcW w:w="812" w:type="dxa"/>
            <w:tcBorders>
              <w:bottom w:val="single" w:color="000000" w:sz="4" w:space="0"/>
            </w:tcBorders>
            <w:shd w:val="clear" w:color="auto" w:fill="FFFFFF"/>
            <w:vAlign w:val="center"/>
          </w:tcPr>
          <w:p>
            <w:pPr>
              <w:rPr>
                <w:rFonts w:hint="eastAsia" w:ascii="宋体" w:hAnsi="宋体" w:eastAsia="宋体" w:cs="宋体"/>
                <w:b/>
                <w:i w:val="0"/>
                <w:color w:val="000000"/>
                <w:sz w:val="22"/>
                <w:szCs w:val="22"/>
                <w:u w:val="none"/>
              </w:rPr>
            </w:pPr>
          </w:p>
        </w:tc>
        <w:tc>
          <w:tcPr>
            <w:tcW w:w="6528" w:type="dxa"/>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部门代码：</w:t>
            </w:r>
            <w:r>
              <w:rPr>
                <w:rStyle w:val="4"/>
                <w:lang w:val="en-US" w:eastAsia="zh-CN" w:bidi="ar"/>
              </w:rPr>
              <w:t xml:space="preserve"> </w:t>
            </w:r>
          </w:p>
        </w:tc>
        <w:tc>
          <w:tcPr>
            <w:tcW w:w="1621" w:type="dxa"/>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单位级次：</w:t>
            </w:r>
          </w:p>
        </w:tc>
        <w:tc>
          <w:tcPr>
            <w:tcW w:w="1605" w:type="dxa"/>
            <w:tcBorders>
              <w:bottom w:val="single" w:color="000000" w:sz="4" w:space="0"/>
            </w:tcBorders>
            <w:shd w:val="clear" w:color="auto" w:fill="FFFFFF"/>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86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2017年度部门预算公开检查内容</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内容完整性    </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部门主要职责及机构设置情况</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包括本级预算和所属单位预算在内的汇总预算</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预算收支增减变化情况说明</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机关运行经费安排情况说明</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政府采购安排情况说明</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专业性较强的名词进行解释</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部门收支总体情况</w:t>
            </w: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部门收支总体情况表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部门收入总体情况表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部门支出总体情况表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财政拨款收支情况</w:t>
            </w: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财政拨款收支总体情况表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一般公共预算支出情况表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一般公共预算“三公”经费支出情况表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政府性基金预算支出情况表</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细化程度      </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一般公共预算支出情况表公开到功能分类项级科目</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一般公共预算基本支出表公开到经济性质分类款级科目</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一般公共预算“三公”经费</w:t>
            </w: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“三公”经费增减变化原因等说明信息</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“三公”经费支出表按“因公出国（境）费”、“公务用车购置及运行费”、“公务接待费”公开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5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“公务用车购置和运行费”细化到“公务用车购置费”和“公务用车运行费”公开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及时性        </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在预算批复后20日内公开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财政部门尚未批复</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财政部门已批复未公开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公开方式      </w:t>
            </w: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有门户网站的，在本级政府或财政部门门户网站公开，并永久保留；没有门户网站的，在公开媒体公开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财政部门在本级政府或财政部门门户网站上设立预决算公开统一平台（或专栏）</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在预决算公开统一平台（或专栏）上集中公开</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3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对在统一平台公开预决算，应当编制目录，对公开内容进行分类、分级</w:t>
            </w:r>
          </w:p>
        </w:tc>
        <w:tc>
          <w:tcPr>
            <w:tcW w:w="32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Verdana">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16027"/>
    <w:multiLevelType w:val="singleLevel"/>
    <w:tmpl w:val="59F160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73FAA"/>
    <w:rsid w:val="52996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2017-10-26T04:23:20Z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