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D5" w:rsidRDefault="001F08D5" w:rsidP="001F08D5">
      <w:pPr>
        <w:adjustRightInd w:val="0"/>
        <w:snapToGrid w:val="0"/>
        <w:spacing w:line="560" w:lineRule="exact"/>
        <w:rPr>
          <w:rFonts w:ascii="黑体" w:eastAsia="黑体" w:hint="eastAsia"/>
          <w:sz w:val="32"/>
          <w:szCs w:val="32"/>
        </w:rPr>
      </w:pPr>
      <w:r>
        <w:rPr>
          <w:rFonts w:ascii="黑体" w:eastAsia="黑体" w:hint="eastAsia"/>
          <w:sz w:val="32"/>
          <w:szCs w:val="32"/>
        </w:rPr>
        <w:t>附件3</w:t>
      </w:r>
    </w:p>
    <w:p w:rsidR="001F08D5" w:rsidRDefault="001F08D5" w:rsidP="001F08D5">
      <w:pPr>
        <w:adjustRightInd w:val="0"/>
        <w:snapToGrid w:val="0"/>
        <w:spacing w:line="560" w:lineRule="exact"/>
        <w:rPr>
          <w:rFonts w:ascii="黑体" w:eastAsia="黑体" w:hint="eastAsia"/>
          <w:sz w:val="32"/>
          <w:szCs w:val="32"/>
        </w:rPr>
      </w:pPr>
    </w:p>
    <w:p w:rsidR="001F08D5" w:rsidRDefault="001F08D5" w:rsidP="001F08D5">
      <w:pPr>
        <w:pStyle w:val="1"/>
        <w:spacing w:before="0" w:after="0" w:line="540" w:lineRule="exact"/>
        <w:jc w:val="center"/>
        <w:rPr>
          <w:rFonts w:ascii="方正小标宋简体" w:eastAsia="方正小标宋简体"/>
          <w:b w:val="0"/>
          <w:bCs w:val="0"/>
        </w:rPr>
      </w:pPr>
      <w:bookmarkStart w:id="0" w:name="_Hlk55937959"/>
      <w:r>
        <w:rPr>
          <w:rFonts w:ascii="方正小标宋简体" w:eastAsia="方正小标宋简体" w:hint="eastAsia"/>
          <w:b w:val="0"/>
          <w:bCs w:val="0"/>
        </w:rPr>
        <w:t>健康促进医院评分表（2020年版）</w:t>
      </w:r>
    </w:p>
    <w:p w:rsidR="001F08D5" w:rsidRDefault="001F08D5" w:rsidP="001F08D5">
      <w:pPr>
        <w:rPr>
          <w:rFonts w:ascii="仿宋_GB2312" w:eastAsia="仿宋_GB2312"/>
          <w:sz w:val="28"/>
          <w:szCs w:val="28"/>
        </w:rPr>
      </w:pPr>
      <w:r>
        <w:rPr>
          <w:rFonts w:ascii="仿宋_GB2312" w:eastAsia="仿宋_GB2312" w:hint="eastAsia"/>
          <w:sz w:val="28"/>
          <w:szCs w:val="28"/>
        </w:rPr>
        <w:t xml:space="preserve">医院：      </w:t>
      </w:r>
      <w:r>
        <w:rPr>
          <w:rFonts w:ascii="仿宋_GB2312" w:eastAsia="仿宋_GB2312"/>
          <w:sz w:val="28"/>
          <w:szCs w:val="28"/>
        </w:rPr>
        <w:t xml:space="preserve">            </w:t>
      </w:r>
      <w:r>
        <w:rPr>
          <w:rFonts w:ascii="仿宋_GB2312" w:eastAsia="仿宋_GB2312" w:hint="eastAsia"/>
          <w:sz w:val="28"/>
          <w:szCs w:val="28"/>
        </w:rPr>
        <w:t xml:space="preserve">                                       时间：      年     月    日</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1380"/>
        <w:gridCol w:w="3640"/>
        <w:gridCol w:w="3640"/>
        <w:gridCol w:w="2280"/>
        <w:gridCol w:w="1140"/>
        <w:gridCol w:w="1140"/>
      </w:tblGrid>
      <w:tr w:rsidR="001F08D5" w:rsidTr="00CE69B7">
        <w:trPr>
          <w:trHeight w:val="402"/>
          <w:tblHeader/>
        </w:trPr>
        <w:tc>
          <w:tcPr>
            <w:tcW w:w="1380" w:type="dxa"/>
            <w:vAlign w:val="center"/>
          </w:tcPr>
          <w:bookmarkEnd w:id="0"/>
          <w:p w:rsidR="001F08D5" w:rsidRDefault="001F08D5" w:rsidP="00CE69B7">
            <w:pPr>
              <w:widowControl/>
              <w:spacing w:line="240" w:lineRule="exact"/>
              <w:jc w:val="center"/>
              <w:rPr>
                <w:rFonts w:ascii="宋体" w:hAnsi="宋体" w:cs="宋体"/>
                <w:b/>
                <w:bCs/>
                <w:color w:val="000000"/>
                <w:kern w:val="0"/>
                <w:szCs w:val="21"/>
              </w:rPr>
            </w:pPr>
            <w:r>
              <w:rPr>
                <w:rFonts w:ascii="宋体" w:hAnsi="宋体" w:cs="宋体" w:hint="eastAsia"/>
                <w:b/>
                <w:bCs/>
                <w:color w:val="000000"/>
                <w:kern w:val="0"/>
                <w:szCs w:val="21"/>
              </w:rPr>
              <w:t>一级指标</w:t>
            </w:r>
          </w:p>
        </w:tc>
        <w:tc>
          <w:tcPr>
            <w:tcW w:w="1380" w:type="dxa"/>
            <w:vAlign w:val="center"/>
          </w:tcPr>
          <w:p w:rsidR="001F08D5" w:rsidRDefault="001F08D5" w:rsidP="00CE69B7">
            <w:pPr>
              <w:widowControl/>
              <w:spacing w:line="240" w:lineRule="exact"/>
              <w:jc w:val="center"/>
              <w:rPr>
                <w:rFonts w:ascii="宋体" w:hAnsi="宋体" w:cs="宋体"/>
                <w:b/>
                <w:bCs/>
                <w:color w:val="000000"/>
                <w:kern w:val="0"/>
                <w:szCs w:val="21"/>
              </w:rPr>
            </w:pPr>
            <w:r>
              <w:rPr>
                <w:rFonts w:ascii="宋体" w:hAnsi="宋体" w:cs="宋体" w:hint="eastAsia"/>
                <w:b/>
                <w:bCs/>
                <w:color w:val="000000"/>
                <w:kern w:val="0"/>
                <w:szCs w:val="21"/>
              </w:rPr>
              <w:t>二级指标</w:t>
            </w:r>
          </w:p>
        </w:tc>
        <w:tc>
          <w:tcPr>
            <w:tcW w:w="3640" w:type="dxa"/>
            <w:vAlign w:val="center"/>
          </w:tcPr>
          <w:p w:rsidR="001F08D5" w:rsidRDefault="001F08D5" w:rsidP="00CE69B7">
            <w:pPr>
              <w:widowControl/>
              <w:spacing w:line="240" w:lineRule="exact"/>
              <w:jc w:val="center"/>
              <w:rPr>
                <w:rFonts w:ascii="宋体" w:hAnsi="宋体" w:cs="宋体"/>
                <w:b/>
                <w:bCs/>
                <w:color w:val="000000"/>
                <w:kern w:val="0"/>
                <w:szCs w:val="21"/>
              </w:rPr>
            </w:pPr>
            <w:r>
              <w:rPr>
                <w:rFonts w:ascii="宋体" w:hAnsi="宋体" w:cs="宋体" w:hint="eastAsia"/>
                <w:b/>
                <w:bCs/>
                <w:color w:val="000000"/>
                <w:kern w:val="0"/>
                <w:szCs w:val="21"/>
              </w:rPr>
              <w:t>指标解释</w:t>
            </w:r>
          </w:p>
        </w:tc>
        <w:tc>
          <w:tcPr>
            <w:tcW w:w="3640" w:type="dxa"/>
            <w:vAlign w:val="center"/>
          </w:tcPr>
          <w:p w:rsidR="001F08D5" w:rsidRDefault="001F08D5" w:rsidP="00CE69B7">
            <w:pPr>
              <w:widowControl/>
              <w:spacing w:line="240" w:lineRule="exact"/>
              <w:jc w:val="center"/>
              <w:rPr>
                <w:rFonts w:ascii="宋体" w:hAnsi="宋体" w:cs="宋体"/>
                <w:b/>
                <w:bCs/>
                <w:color w:val="000000"/>
                <w:kern w:val="0"/>
                <w:szCs w:val="21"/>
              </w:rPr>
            </w:pPr>
            <w:r>
              <w:rPr>
                <w:rFonts w:ascii="宋体" w:hAnsi="宋体" w:cs="宋体" w:hint="eastAsia"/>
                <w:b/>
                <w:bCs/>
                <w:color w:val="000000"/>
                <w:kern w:val="0"/>
                <w:szCs w:val="21"/>
              </w:rPr>
              <w:t>评分标准</w:t>
            </w:r>
          </w:p>
        </w:tc>
        <w:tc>
          <w:tcPr>
            <w:tcW w:w="2280" w:type="dxa"/>
            <w:vAlign w:val="center"/>
          </w:tcPr>
          <w:p w:rsidR="001F08D5" w:rsidRDefault="001F08D5" w:rsidP="00CE69B7">
            <w:pPr>
              <w:widowControl/>
              <w:spacing w:line="240" w:lineRule="exact"/>
              <w:jc w:val="center"/>
              <w:rPr>
                <w:rFonts w:ascii="宋体" w:hAnsi="宋体" w:cs="宋体"/>
                <w:b/>
                <w:bCs/>
                <w:color w:val="000000"/>
                <w:kern w:val="0"/>
                <w:szCs w:val="21"/>
              </w:rPr>
            </w:pPr>
            <w:r>
              <w:rPr>
                <w:rFonts w:ascii="宋体" w:hAnsi="宋体" w:cs="宋体" w:hint="eastAsia"/>
                <w:b/>
                <w:bCs/>
                <w:color w:val="000000"/>
                <w:kern w:val="0"/>
                <w:szCs w:val="21"/>
              </w:rPr>
              <w:t>考核方法</w:t>
            </w:r>
          </w:p>
        </w:tc>
        <w:tc>
          <w:tcPr>
            <w:tcW w:w="1140" w:type="dxa"/>
            <w:vAlign w:val="center"/>
          </w:tcPr>
          <w:p w:rsidR="001F08D5" w:rsidRDefault="001F08D5" w:rsidP="00CE69B7">
            <w:pPr>
              <w:widowControl/>
              <w:spacing w:line="240" w:lineRule="exact"/>
              <w:jc w:val="center"/>
              <w:rPr>
                <w:rFonts w:ascii="宋体" w:hAnsi="宋体" w:cs="宋体"/>
                <w:b/>
                <w:bCs/>
                <w:color w:val="000000"/>
                <w:kern w:val="0"/>
                <w:szCs w:val="21"/>
              </w:rPr>
            </w:pPr>
            <w:r>
              <w:rPr>
                <w:rFonts w:ascii="宋体" w:hAnsi="宋体" w:cs="宋体" w:hint="eastAsia"/>
                <w:b/>
                <w:bCs/>
                <w:color w:val="000000"/>
                <w:kern w:val="0"/>
                <w:szCs w:val="21"/>
              </w:rPr>
              <w:t>分值</w:t>
            </w:r>
          </w:p>
        </w:tc>
        <w:tc>
          <w:tcPr>
            <w:tcW w:w="1140" w:type="dxa"/>
            <w:vAlign w:val="center"/>
          </w:tcPr>
          <w:p w:rsidR="001F08D5" w:rsidRDefault="001F08D5" w:rsidP="00CE69B7">
            <w:pPr>
              <w:widowControl/>
              <w:spacing w:line="240" w:lineRule="exact"/>
              <w:jc w:val="center"/>
              <w:rPr>
                <w:rFonts w:ascii="宋体" w:hAnsi="宋体" w:cs="宋体"/>
                <w:b/>
                <w:bCs/>
                <w:color w:val="000000"/>
                <w:kern w:val="0"/>
                <w:szCs w:val="21"/>
              </w:rPr>
            </w:pPr>
            <w:r>
              <w:rPr>
                <w:rFonts w:ascii="宋体" w:hAnsi="宋体" w:cs="宋体" w:hint="eastAsia"/>
                <w:b/>
                <w:bCs/>
                <w:color w:val="000000"/>
                <w:kern w:val="0"/>
                <w:szCs w:val="21"/>
              </w:rPr>
              <w:t>得分</w:t>
            </w:r>
          </w:p>
        </w:tc>
      </w:tr>
      <w:tr w:rsidR="001F08D5" w:rsidTr="00CE69B7">
        <w:trPr>
          <w:trHeight w:val="583"/>
        </w:trPr>
        <w:tc>
          <w:tcPr>
            <w:tcW w:w="1380" w:type="dxa"/>
            <w:vMerge w:val="restart"/>
            <w:vAlign w:val="center"/>
          </w:tcPr>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一、组织管理（20分）</w:t>
            </w: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一、组织管理（20分）</w:t>
            </w:r>
          </w:p>
          <w:p w:rsidR="001F08D5" w:rsidRDefault="001F08D5" w:rsidP="00CE69B7">
            <w:pPr>
              <w:widowControl/>
              <w:spacing w:line="240" w:lineRule="exact"/>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协调机制</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成立医院主要负责同志为组长的健康促进医院领导小组，职责分工明确。</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以正式文件形式印发，成立院长或分管院长为组长的领导小组，得1分。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782"/>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每季度召开2次工作例会，推进健康促进医院建设。</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每召开1次工作例会得0.5分，最高1分。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检查会议通知、记录、签到表等档案资料。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942"/>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制度建设</w:t>
            </w:r>
          </w:p>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将建设健康促进医院纳入医院目标责任考核、医院发展规划、服务宗旨。</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每纳入一个重点文件得0.5分，最高1分。</w:t>
            </w:r>
          </w:p>
        </w:tc>
        <w:tc>
          <w:tcPr>
            <w:tcW w:w="2280" w:type="dxa"/>
            <w:vMerge w:val="restart"/>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检查文件资料。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942"/>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将控烟工作纳入医院目标责任考核和发展规划，有控烟巡查制度、考评奖惩制度、劝阻制度。</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每做到一项得0.25分，最高1分。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570"/>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明确健康促进工作牵头负责部门，明确各个科室职责。</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有文件支持，得1分。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859"/>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将针对患者及社区居民开展健康教育工作纳入医护人员绩效考核。</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有文件支持，得1分。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724"/>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制定全体员工定期接受健康教育与健康促进继续教育或专题培训制度。</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有文件支持，得1分。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567"/>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制定全体员工定期体检、接受健康管理的制度。</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有文件支持，得1分。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842"/>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组织实施</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有固定的科室和人员负责全院健康促进与健康教育工作的组织管理和技术指导。</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以正式文件形式明确健康促进主管的科室，得1分，有健康促进专职人员，得1分。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90"/>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每个临床和医技科室有专（兼）职人员负责本科室的健康教育工作。设有控烟监督和巡查员。</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每个临床和医技科室均设有专（兼）职健康教育人员的得0.5分。单位内设有控烟巡查员，各科室均设有控烟监督员的得0.5分，如仅有巡查员或控烟监督员的不得分。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检查相关文件、制度，相关人员名单等档案资料。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890"/>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每年制定健康促进医院工作年度计划。包括医院健康促进资源和健康问题评估、工作目标、任务分工、时间进度等。</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有年度工作计划，得1分。内容明确，措施具体，责任分工合理得1分。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669"/>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定期开展员工健康促进医院建设培训，开展控烟培训。</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每开展一次专题培训得0.5分，最高2分。</w:t>
            </w:r>
          </w:p>
        </w:tc>
        <w:tc>
          <w:tcPr>
            <w:tcW w:w="2280" w:type="dxa"/>
            <w:vAlign w:val="center"/>
          </w:tcPr>
          <w:p w:rsidR="001F08D5" w:rsidRDefault="001F08D5" w:rsidP="00CE69B7">
            <w:pPr>
              <w:widowControl/>
              <w:spacing w:line="240" w:lineRule="exact"/>
              <w:rPr>
                <w:rFonts w:ascii="宋体" w:hAnsi="宋体" w:cs="宋体"/>
                <w:color w:val="000000"/>
                <w:spacing w:val="-10"/>
                <w:kern w:val="0"/>
                <w:szCs w:val="21"/>
              </w:rPr>
            </w:pPr>
            <w:r>
              <w:rPr>
                <w:rFonts w:ascii="宋体" w:hAnsi="宋体" w:cs="宋体" w:hint="eastAsia"/>
                <w:color w:val="000000"/>
                <w:spacing w:val="-10"/>
                <w:kern w:val="0"/>
                <w:szCs w:val="21"/>
              </w:rPr>
              <w:t>检查培训通知、日程、签到表、相片等档案资料。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762"/>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每年全面总结健康促进医院工作，总结经验和问题，接受上级部门的考核评估。</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有总结报告的得1分。总结报告内容具体，经验亮点突出，下一步工作思路清晰的得1分。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610"/>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保障措施</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有健康促进与健康教育必备的场所、宣传阵地和设备。</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有专门健康教育教室得1分。有宣传栏等健康教育阵地得0.5分。有专用设备得0.5分。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检查档案资料，现场查看。</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557"/>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保证健康促进与健康教育专项工作经费。</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医院设健康教育专项经费得0.5分，如超过10万再得0.5分。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检查经费预算、财务凭证等资料。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995"/>
        </w:trPr>
        <w:tc>
          <w:tcPr>
            <w:tcW w:w="1380" w:type="dxa"/>
            <w:vMerge w:val="restart"/>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二、健康环境（8分）</w:t>
            </w:r>
          </w:p>
        </w:tc>
        <w:tc>
          <w:tcPr>
            <w:tcW w:w="1380" w:type="dxa"/>
            <w:vMerge w:val="restart"/>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诊疗环境</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医院设咨询台，设置导医标识，方便患者就诊。候诊区提供与就诊人数相匹配的候诊座椅，为患者提供安全、私密的就诊环境。</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有咨询台得0.5分；导医标识明显清晰，得0.5分；候诊区座椅数量充足，得0.5分；健康检查时保护患者隐私，得0.5分。</w:t>
            </w:r>
          </w:p>
        </w:tc>
        <w:tc>
          <w:tcPr>
            <w:tcW w:w="2280" w:type="dxa"/>
            <w:vMerge w:val="restart"/>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现场查看。</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90"/>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医院整体环境卫生，生活垃圾和医疗废物分类收集，处置及时。厕所卫生，</w:t>
            </w:r>
            <w:r>
              <w:rPr>
                <w:rFonts w:ascii="宋体" w:hAnsi="宋体" w:cs="宋体" w:hint="eastAsia"/>
                <w:color w:val="000000"/>
                <w:kern w:val="0"/>
                <w:szCs w:val="21"/>
              </w:rPr>
              <w:lastRenderedPageBreak/>
              <w:t>有洗手设施。</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lastRenderedPageBreak/>
              <w:t>医疗废物与生活垃圾分类处置得1分。随机进入一个厕所，干净有洗手设施</w:t>
            </w:r>
            <w:r>
              <w:rPr>
                <w:rFonts w:ascii="宋体" w:hAnsi="宋体" w:cs="宋体" w:hint="eastAsia"/>
                <w:color w:val="000000"/>
                <w:kern w:val="0"/>
                <w:szCs w:val="21"/>
              </w:rPr>
              <w:lastRenderedPageBreak/>
              <w:t>得1分。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504"/>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辐射安全、医疗废弃物等标识清晰、明显。</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有明显的辐射安全标识，得0.5分。有明显的医疗废弃物标识，得0.5分。</w:t>
            </w:r>
          </w:p>
        </w:tc>
        <w:tc>
          <w:tcPr>
            <w:tcW w:w="2280" w:type="dxa"/>
            <w:vMerge/>
            <w:vAlign w:val="center"/>
          </w:tcPr>
          <w:p w:rsidR="001F08D5" w:rsidRDefault="001F08D5" w:rsidP="00CE69B7">
            <w:pPr>
              <w:widowControl/>
              <w:spacing w:line="240" w:lineRule="exac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618"/>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人文环境</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医务人员对待患者和蔼和亲，使用文明礼貌用语。</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随机进入诊室，医务人员态度和蔼、使用文明用语，得1分。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823"/>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考虑残疾人、老年人、孕产妇等特殊人群的需求，如绿色通道、优先窗口等。</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符合要求，得1分。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623"/>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根据需要提供安全的食品和饮用水。</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符合要求，得1分。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581"/>
        </w:trPr>
        <w:tc>
          <w:tcPr>
            <w:tcW w:w="1380" w:type="dxa"/>
            <w:vMerge w:val="restart"/>
            <w:vAlign w:val="center"/>
          </w:tcPr>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三、无烟医院（12分）</w:t>
            </w:r>
          </w:p>
          <w:p w:rsidR="001F08D5" w:rsidRDefault="001F08D5" w:rsidP="00CE69B7">
            <w:pPr>
              <w:spacing w:line="240" w:lineRule="exact"/>
              <w:jc w:val="center"/>
              <w:rPr>
                <w:rFonts w:ascii="宋体" w:hAnsi="宋体" w:cs="宋体" w:hint="eastAsia"/>
                <w:color w:val="000000"/>
                <w:kern w:val="0"/>
                <w:szCs w:val="21"/>
              </w:rPr>
            </w:pPr>
          </w:p>
          <w:p w:rsidR="001F08D5" w:rsidRDefault="001F08D5" w:rsidP="00CE69B7">
            <w:pPr>
              <w:spacing w:line="240" w:lineRule="exact"/>
              <w:jc w:val="center"/>
              <w:rPr>
                <w:rFonts w:ascii="宋体" w:hAnsi="宋体" w:cs="宋体" w:hint="eastAsia"/>
                <w:color w:val="000000"/>
                <w:kern w:val="0"/>
                <w:szCs w:val="21"/>
              </w:rPr>
            </w:pPr>
          </w:p>
          <w:p w:rsidR="001F08D5" w:rsidRDefault="001F08D5" w:rsidP="00CE69B7">
            <w:pPr>
              <w:spacing w:line="240" w:lineRule="exact"/>
              <w:jc w:val="center"/>
              <w:rPr>
                <w:rFonts w:ascii="宋体" w:hAnsi="宋体" w:cs="宋体" w:hint="eastAsia"/>
                <w:color w:val="000000"/>
                <w:kern w:val="0"/>
                <w:szCs w:val="21"/>
              </w:rPr>
            </w:pPr>
          </w:p>
          <w:p w:rsidR="001F08D5" w:rsidRDefault="001F08D5" w:rsidP="00CE69B7">
            <w:pPr>
              <w:spacing w:line="240" w:lineRule="exact"/>
              <w:jc w:val="center"/>
              <w:rPr>
                <w:rFonts w:ascii="宋体" w:hAnsi="宋体" w:cs="宋体" w:hint="eastAsia"/>
                <w:color w:val="000000"/>
                <w:kern w:val="0"/>
                <w:szCs w:val="21"/>
              </w:rPr>
            </w:pPr>
          </w:p>
          <w:p w:rsidR="001F08D5" w:rsidRDefault="001F08D5" w:rsidP="00CE69B7">
            <w:pPr>
              <w:spacing w:line="240" w:lineRule="exact"/>
              <w:jc w:val="center"/>
              <w:rPr>
                <w:rFonts w:ascii="宋体" w:hAnsi="宋体" w:cs="宋体" w:hint="eastAsia"/>
                <w:color w:val="000000"/>
                <w:kern w:val="0"/>
                <w:szCs w:val="21"/>
              </w:rPr>
            </w:pPr>
          </w:p>
          <w:p w:rsidR="001F08D5" w:rsidRDefault="001F08D5" w:rsidP="00CE69B7">
            <w:pPr>
              <w:spacing w:line="240" w:lineRule="exact"/>
              <w:jc w:val="center"/>
              <w:rPr>
                <w:rFonts w:ascii="宋体" w:hAnsi="宋体" w:cs="宋体" w:hint="eastAsia"/>
                <w:color w:val="000000"/>
                <w:kern w:val="0"/>
                <w:szCs w:val="21"/>
              </w:rPr>
            </w:pPr>
          </w:p>
          <w:p w:rsidR="001F08D5" w:rsidRDefault="001F08D5" w:rsidP="00CE69B7">
            <w:pPr>
              <w:spacing w:line="240" w:lineRule="exact"/>
              <w:jc w:val="center"/>
              <w:rPr>
                <w:rFonts w:ascii="宋体" w:hAnsi="宋体" w:cs="宋体" w:hint="eastAsia"/>
                <w:color w:val="000000"/>
                <w:kern w:val="0"/>
                <w:szCs w:val="21"/>
              </w:rPr>
            </w:pPr>
          </w:p>
          <w:p w:rsidR="001F08D5" w:rsidRDefault="001F08D5" w:rsidP="00CE69B7">
            <w:pPr>
              <w:spacing w:line="240" w:lineRule="exact"/>
              <w:jc w:val="center"/>
              <w:rPr>
                <w:rFonts w:ascii="宋体" w:hAnsi="宋体" w:cs="宋体" w:hint="eastAsia"/>
                <w:color w:val="000000"/>
                <w:kern w:val="0"/>
                <w:szCs w:val="21"/>
              </w:rPr>
            </w:pPr>
          </w:p>
          <w:p w:rsidR="001F08D5" w:rsidRDefault="001F08D5" w:rsidP="00CE69B7">
            <w:pPr>
              <w:spacing w:line="240" w:lineRule="exact"/>
              <w:jc w:val="center"/>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无烟环境</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医院室内完全禁止吸烟，所有室内场所没有烟头，没有吸烟者。</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每发现1个烟头或吸烟者扣1分，扣完为止。</w:t>
            </w:r>
          </w:p>
        </w:tc>
        <w:tc>
          <w:tcPr>
            <w:tcW w:w="2280" w:type="dxa"/>
            <w:vMerge w:val="restart"/>
            <w:vAlign w:val="center"/>
          </w:tcPr>
          <w:p w:rsidR="001F08D5" w:rsidRDefault="001F08D5" w:rsidP="00CE69B7">
            <w:pPr>
              <w:widowControl/>
              <w:spacing w:line="240" w:lineRule="exact"/>
              <w:jc w:val="left"/>
              <w:rPr>
                <w:rFonts w:ascii="宋体" w:hAnsi="宋体" w:cs="宋体" w:hint="eastAsia"/>
                <w:color w:val="000000"/>
                <w:kern w:val="0"/>
                <w:szCs w:val="21"/>
              </w:rPr>
            </w:pPr>
          </w:p>
          <w:p w:rsidR="001F08D5" w:rsidRDefault="001F08D5" w:rsidP="00CE69B7">
            <w:pPr>
              <w:widowControl/>
              <w:spacing w:line="240" w:lineRule="exact"/>
              <w:jc w:val="left"/>
              <w:rPr>
                <w:rFonts w:ascii="宋体" w:hAnsi="宋体" w:cs="宋体" w:hint="eastAsia"/>
                <w:color w:val="000000"/>
                <w:kern w:val="0"/>
                <w:szCs w:val="21"/>
              </w:rPr>
            </w:pPr>
          </w:p>
          <w:p w:rsidR="001F08D5" w:rsidRDefault="001F08D5"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现场查看。</w:t>
            </w:r>
          </w:p>
          <w:p w:rsidR="001F08D5" w:rsidRDefault="001F08D5" w:rsidP="00CE69B7">
            <w:pPr>
              <w:widowControl/>
              <w:spacing w:line="240" w:lineRule="exact"/>
              <w:jc w:val="left"/>
              <w:rPr>
                <w:rFonts w:ascii="宋体" w:hAnsi="宋体" w:cs="宋体" w:hint="eastAsia"/>
                <w:color w:val="000000"/>
                <w:kern w:val="0"/>
                <w:szCs w:val="21"/>
              </w:rPr>
            </w:pPr>
          </w:p>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1000"/>
        </w:trPr>
        <w:tc>
          <w:tcPr>
            <w:tcW w:w="1380" w:type="dxa"/>
            <w:vMerge/>
            <w:vAlign w:val="center"/>
          </w:tcPr>
          <w:p w:rsidR="001F08D5" w:rsidRDefault="001F08D5" w:rsidP="00CE69B7">
            <w:pPr>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医院所属区域有明显的禁烟标识。所有建筑物入口处、候诊区、会议室、厕所、走廊、电梯、楼梯等公共区域有明显的禁烟标识。</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每发现1个缺乏无烟标识的公共区域扣0.5分，扣完为止。</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466"/>
        </w:trPr>
        <w:tc>
          <w:tcPr>
            <w:tcW w:w="1380" w:type="dxa"/>
            <w:vMerge/>
            <w:vAlign w:val="center"/>
          </w:tcPr>
          <w:p w:rsidR="001F08D5" w:rsidRDefault="001F08D5" w:rsidP="00CE69B7">
            <w:pPr>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院内不销售烟草制品。</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如发现，扣1分。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510"/>
        </w:trPr>
        <w:tc>
          <w:tcPr>
            <w:tcW w:w="1380" w:type="dxa"/>
            <w:vMerge/>
            <w:vAlign w:val="center"/>
          </w:tcPr>
          <w:p w:rsidR="001F08D5" w:rsidRDefault="001F08D5" w:rsidP="00CE69B7">
            <w:pPr>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院内无烟草广告、促销和赞助。</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如发现，扣1分。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652"/>
        </w:trPr>
        <w:tc>
          <w:tcPr>
            <w:tcW w:w="1380" w:type="dxa"/>
            <w:vMerge/>
            <w:vAlign w:val="center"/>
          </w:tcPr>
          <w:p w:rsidR="001F08D5" w:rsidRDefault="001F08D5" w:rsidP="00CE69B7">
            <w:pPr>
              <w:spacing w:line="240" w:lineRule="exact"/>
              <w:jc w:val="center"/>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无烟宣传</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有控烟宣传材料。</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有一类控烟传播材料得0.25分，最高1分。</w:t>
            </w:r>
          </w:p>
        </w:tc>
        <w:tc>
          <w:tcPr>
            <w:tcW w:w="2280" w:type="dxa"/>
            <w:vMerge/>
            <w:vAlign w:val="center"/>
          </w:tcPr>
          <w:p w:rsidR="001F08D5" w:rsidRDefault="001F08D5" w:rsidP="00CE69B7">
            <w:pPr>
              <w:widowControl/>
              <w:spacing w:line="240" w:lineRule="exact"/>
              <w:jc w:val="left"/>
              <w:rPr>
                <w:rFonts w:ascii="宋体" w:hAnsi="宋体" w:cs="宋体"/>
                <w:color w:val="000000"/>
                <w:kern w:val="0"/>
                <w:szCs w:val="21"/>
              </w:rPr>
            </w:pP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547"/>
        </w:trPr>
        <w:tc>
          <w:tcPr>
            <w:tcW w:w="1380" w:type="dxa"/>
            <w:vMerge/>
            <w:vAlign w:val="center"/>
          </w:tcPr>
          <w:p w:rsidR="001F08D5" w:rsidRDefault="001F08D5" w:rsidP="00CE69B7">
            <w:pPr>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开展以控烟为主题的宣传活动，如讲座、咨询等。</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开展一次控烟主题的宣传活动得0.5分，最高1分。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检查活动通知、记录表、小结、相片等资料。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803"/>
        </w:trPr>
        <w:tc>
          <w:tcPr>
            <w:tcW w:w="1380" w:type="dxa"/>
            <w:vMerge/>
            <w:vAlign w:val="center"/>
          </w:tcPr>
          <w:p w:rsidR="001F08D5" w:rsidRDefault="001F08D5" w:rsidP="00CE69B7">
            <w:pPr>
              <w:spacing w:line="240" w:lineRule="exact"/>
              <w:jc w:val="center"/>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戒烟服务</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在相应科室设戒烟服务医生和咨询电话，开展戒烟服务和咨询。</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有科室提供戒烟服务，得1分。有专人提供戒烟咨询，得1分。</w:t>
            </w:r>
          </w:p>
        </w:tc>
        <w:tc>
          <w:tcPr>
            <w:tcW w:w="228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现场查看提供戒烟服务的科室。</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1122"/>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医生询问门诊、住院患者的吸烟史，对其中的吸烟者进行简短戒烟干预并有记录。</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开展门诊患者戒烟干预，得1分。开展住院患者戒烟干预，得1分。</w:t>
            </w:r>
          </w:p>
        </w:tc>
        <w:tc>
          <w:tcPr>
            <w:tcW w:w="228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检查戒烟干预服务相关记录、病历等资料。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853"/>
        </w:trPr>
        <w:tc>
          <w:tcPr>
            <w:tcW w:w="1380" w:type="dxa"/>
            <w:vMerge w:val="restart"/>
            <w:vAlign w:val="center"/>
          </w:tcPr>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四、健康教育（50分）</w:t>
            </w: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四、健康教育（50分）</w:t>
            </w:r>
          </w:p>
        </w:tc>
        <w:tc>
          <w:tcPr>
            <w:tcW w:w="1380" w:type="dxa"/>
            <w:vMerge w:val="restart"/>
            <w:vAlign w:val="center"/>
          </w:tcPr>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患者健康促进</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各科室制定门诊和健康教育工作流程和要点。</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内外妇儿等重点科室制定门诊健康教育流程和要点，每有1个科室符合要求得1分，累计不超过4分。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90"/>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各科室制定住院患者在住院期间和出院后的健康教育工作流程和要点。</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内外妇儿等重点科室制定住院健康教育流程和要点，每有1个科室符合要求得1分，累计不超过4分。</w:t>
            </w:r>
            <w:r>
              <w:rPr>
                <w:rFonts w:ascii="宋体" w:hAnsi="宋体" w:cs="宋体" w:hint="eastAsia"/>
                <w:color w:val="000000"/>
                <w:kern w:val="0"/>
                <w:szCs w:val="21"/>
              </w:rPr>
              <w:br/>
              <w:t>流程一般包括以下环节：询问、检查、评估、制定干预方案、实施、评估。</w:t>
            </w:r>
            <w:r>
              <w:rPr>
                <w:rFonts w:ascii="宋体" w:hAnsi="宋体" w:cs="宋体" w:hint="eastAsia"/>
                <w:color w:val="000000"/>
                <w:kern w:val="0"/>
                <w:szCs w:val="21"/>
              </w:rPr>
              <w:br/>
              <w:t>健康教育要点应根据不用病种、人群、实施环节（门诊、入院、出院等）进行制定并有所区别。</w:t>
            </w:r>
          </w:p>
        </w:tc>
        <w:tc>
          <w:tcPr>
            <w:tcW w:w="228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1947"/>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个临床科室开展健康教育服务，有针对不同病种的健康教育档案记录:1.开展患者健康评估。2.为患者提供改进健康、促进疾病康复的个性化建议。3.患者出院时，给予患者或家属合理化的出院健康指导或建议。4.患者出院后，通过与社区合作、随访等方式，持续提供健康建议。</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科室有针对某病种或健康问题的全套健康教育工作记录，每个病种或健康问题得1分，1个科室累计不超过3分，全院累计不超过15分，可区分门诊和住院科室。</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检查工作记录等档案资料。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15</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973"/>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重点诊疗区合理使用健康传播材料（如摆放健康教育资料，张贴健康海报或健康提示，播放健康视频等）。</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集中候诊区、治疗区（如输液室）、门诊科室、住院科室等诊疗区能合理使用健康传播材料，每有1类场所合理使用的得1分，累计不超过4分。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现场查看。</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706"/>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设置健康教育宣传栏，县级及以上医院每月更换一次，基层医疗卫生机构每两月更换一次。</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有健康教育宣传栏得1分，定期更换得2分。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检查宣传栏更新记录、相片等档案资料。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752"/>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社区健康促进</w:t>
            </w: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p>
          <w:p w:rsidR="001F08D5" w:rsidRDefault="001F08D5"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社区健康促进</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制定针对社区居民的健康教育工作流程和健康教育要点。</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有针对社区居民的健康教育工作流程，得1分。有健康教育工作要点得1分，操作性强得1分。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检查档案资料。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829"/>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开展面向社区的健康讲座、健康咨询、义诊、健康烹调大赛、健康训练营、健康生活方式倡导等健康活动。</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每开展一次活动得0.5分，最高4分。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检查活动通知、方案、记录、小结、相片等资料。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660"/>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通过广播、电视、报纸、网站和新媒体对公众开展健康教育。</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每开展一次宣传得0.5分，最高3分。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检查合作合同、媒体报道截图、报纸实物等资料。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1102"/>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restart"/>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职工健康促进</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每年对全体员工进行体检，建立健康档案，开展健康评估。</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每年对全体员工进行体检得1分，部分员工体检或不是每年开展的均不得分。建立健康档案得1分。为每个员工开展健康评估得2分。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检查体检通知、体检结果记录、健康档案、健康评估报告等资料。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906"/>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根据员工主要健康问题，开展健康管理，有具体的干预措施。</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发现员工主要健康问题，得1分。有健康管理计划，得1分。开展健康干预，得1分。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检查健康评估报告、工作计划，相关制度、措施等资料。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733"/>
        </w:trPr>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1380" w:type="dxa"/>
            <w:vMerge/>
            <w:vAlign w:val="center"/>
          </w:tcPr>
          <w:p w:rsidR="001F08D5" w:rsidRDefault="001F08D5" w:rsidP="00CE69B7">
            <w:pPr>
              <w:widowControl/>
              <w:spacing w:line="240" w:lineRule="exact"/>
              <w:jc w:val="center"/>
              <w:rPr>
                <w:rFonts w:ascii="宋体" w:hAnsi="宋体" w:cs="宋体"/>
                <w:color w:val="000000"/>
                <w:kern w:val="0"/>
                <w:szCs w:val="21"/>
              </w:rPr>
            </w:pP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组织促进身心健康的文体活动，丰富员工生活，提高医院凝聚力。</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每开展一次集体健康活动得0.5分，累计不超过3分。</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检查活动通知、方案、小结、相片等资料。</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746"/>
        </w:trPr>
        <w:tc>
          <w:tcPr>
            <w:tcW w:w="138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五、建设效果（10分）</w:t>
            </w:r>
          </w:p>
        </w:tc>
        <w:tc>
          <w:tcPr>
            <w:tcW w:w="138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目标人群评价</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目标人群对健康促进工作支持、理解、满意。</w:t>
            </w:r>
          </w:p>
        </w:tc>
        <w:tc>
          <w:tcPr>
            <w:tcW w:w="3640" w:type="dxa"/>
            <w:vAlign w:val="center"/>
          </w:tcPr>
          <w:p w:rsidR="001F08D5" w:rsidRDefault="001F08D5"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详见目标人群测评方案。</w:t>
            </w:r>
          </w:p>
        </w:tc>
        <w:tc>
          <w:tcPr>
            <w:tcW w:w="2280" w:type="dxa"/>
            <w:vAlign w:val="center"/>
          </w:tcPr>
          <w:p w:rsidR="001F08D5" w:rsidRDefault="001F08D5"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快速调查</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r w:rsidR="001F08D5" w:rsidTr="00CE69B7">
        <w:trPr>
          <w:trHeight w:val="549"/>
        </w:trPr>
        <w:tc>
          <w:tcPr>
            <w:tcW w:w="12320" w:type="dxa"/>
            <w:gridSpan w:val="5"/>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合计</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100</w:t>
            </w:r>
          </w:p>
        </w:tc>
        <w:tc>
          <w:tcPr>
            <w:tcW w:w="1140" w:type="dxa"/>
            <w:vAlign w:val="center"/>
          </w:tcPr>
          <w:p w:rsidR="001F08D5" w:rsidRDefault="001F08D5" w:rsidP="00CE69B7">
            <w:pPr>
              <w:widowControl/>
              <w:spacing w:line="240" w:lineRule="exact"/>
              <w:jc w:val="center"/>
              <w:rPr>
                <w:rFonts w:ascii="宋体" w:hAnsi="宋体" w:cs="宋体"/>
                <w:color w:val="000000"/>
                <w:kern w:val="0"/>
                <w:szCs w:val="21"/>
              </w:rPr>
            </w:pPr>
          </w:p>
        </w:tc>
      </w:tr>
    </w:tbl>
    <w:p w:rsidR="001F08D5" w:rsidRDefault="001F08D5" w:rsidP="001F08D5">
      <w:pPr>
        <w:spacing w:line="300" w:lineRule="exact"/>
        <w:rPr>
          <w:rFonts w:ascii="仿宋_GB2312" w:eastAsia="仿宋_GB2312" w:hint="eastAsia"/>
          <w:sz w:val="28"/>
          <w:szCs w:val="28"/>
        </w:rPr>
      </w:pPr>
    </w:p>
    <w:p w:rsidR="001F08D5" w:rsidRDefault="001F08D5" w:rsidP="001F08D5">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说明：健康促进医院现场评估表采取百分制，现场评估达到70分及以上，认为达到健康促进医院标准。健康促进医</w:t>
      </w:r>
    </w:p>
    <w:p w:rsidR="001F08D5" w:rsidRDefault="001F08D5" w:rsidP="001F08D5">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院转化得分=15×（现场评估得分/100），纳入健康促进县总评分表。</w:t>
      </w:r>
    </w:p>
    <w:p w:rsidR="00213CC6" w:rsidRDefault="001F08D5" w:rsidP="001F08D5">
      <w:r>
        <w:rPr>
          <w:rFonts w:ascii="黑体" w:eastAsia="黑体" w:hAnsi="宋体" w:hint="eastAsia"/>
          <w:b/>
          <w:sz w:val="32"/>
        </w:rPr>
        <w:br w:type="page"/>
      </w:r>
    </w:p>
    <w:sectPr w:rsidR="00213CC6" w:rsidSect="001F08D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08D5"/>
    <w:rsid w:val="001F08D5"/>
    <w:rsid w:val="00213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D5"/>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F08D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08D5"/>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2021-11-15T07:51:00Z</dcterms:created>
  <dcterms:modified xsi:type="dcterms:W3CDTF">2021-11-15T07:52:00Z</dcterms:modified>
</cp:coreProperties>
</file>