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E1" w:rsidRDefault="007766E1" w:rsidP="007766E1">
      <w:pPr>
        <w:pStyle w:val="a0"/>
        <w:rPr>
          <w:rFonts w:ascii="方正小标宋简体" w:eastAsia="方正小标宋简体" w:hAnsi="方正小标宋简体" w:cs="方正小标宋简体" w:hint="eastAsia"/>
          <w:b w:val="0"/>
          <w:color w:val="000000"/>
          <w:spacing w:val="-11"/>
          <w:kern w:val="0"/>
          <w:sz w:val="36"/>
          <w:szCs w:val="36"/>
          <w:lang/>
        </w:rPr>
      </w:pPr>
      <w:r>
        <w:rPr>
          <w:rFonts w:ascii="方正小标宋简体" w:eastAsia="方正小标宋简体" w:hAnsi="方正小标宋简体" w:cs="方正小标宋简体" w:hint="eastAsia"/>
          <w:b w:val="0"/>
          <w:color w:val="000000"/>
          <w:spacing w:val="-11"/>
          <w:kern w:val="0"/>
          <w:sz w:val="36"/>
          <w:szCs w:val="36"/>
          <w:lang/>
        </w:rPr>
        <w:t>融安县落实《广西深化医药卫生体制改革</w:t>
      </w:r>
      <w:r>
        <w:rPr>
          <w:rFonts w:ascii="Times New Roman" w:eastAsia="方正小标宋简体" w:hAnsi="Times New Roman" w:cs="Times New Roman"/>
          <w:b w:val="0"/>
          <w:color w:val="000000"/>
          <w:spacing w:val="-11"/>
          <w:kern w:val="0"/>
          <w:sz w:val="36"/>
          <w:szCs w:val="36"/>
          <w:lang/>
        </w:rPr>
        <w:t>2021</w:t>
      </w:r>
      <w:r>
        <w:rPr>
          <w:rFonts w:ascii="方正小标宋简体" w:eastAsia="方正小标宋简体" w:hAnsi="方正小标宋简体" w:cs="方正小标宋简体" w:hint="eastAsia"/>
          <w:b w:val="0"/>
          <w:color w:val="000000"/>
          <w:spacing w:val="-11"/>
          <w:kern w:val="0"/>
          <w:sz w:val="36"/>
          <w:szCs w:val="36"/>
          <w:lang/>
        </w:rPr>
        <w:t>年重点工作任务》的分工方案</w:t>
      </w:r>
    </w:p>
    <w:tbl>
      <w:tblPr>
        <w:tblW w:w="0" w:type="auto"/>
        <w:tblLayout w:type="fixed"/>
        <w:tblCellMar>
          <w:left w:w="0" w:type="dxa"/>
          <w:right w:w="0" w:type="dxa"/>
        </w:tblCellMar>
        <w:tblLook w:val="0000"/>
      </w:tblPr>
      <w:tblGrid>
        <w:gridCol w:w="2190"/>
        <w:gridCol w:w="9163"/>
        <w:gridCol w:w="2782"/>
      </w:tblGrid>
      <w:tr w:rsidR="007766E1" w:rsidTr="00CD784C">
        <w:trPr>
          <w:trHeight w:val="597"/>
          <w:tblHeader/>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widowControl/>
              <w:jc w:val="center"/>
              <w:textAlignment w:val="center"/>
              <w:rPr>
                <w:rFonts w:ascii="黑体" w:eastAsia="黑体" w:hAnsi="黑体" w:cs="黑体" w:hint="eastAsia"/>
                <w:bCs/>
                <w:color w:val="000000"/>
                <w:sz w:val="28"/>
                <w:szCs w:val="28"/>
              </w:rPr>
            </w:pPr>
            <w:r>
              <w:rPr>
                <w:rFonts w:ascii="黑体" w:eastAsia="黑体" w:hAnsi="黑体" w:cs="黑体" w:hint="eastAsia"/>
                <w:bCs/>
                <w:color w:val="000000"/>
                <w:kern w:val="0"/>
                <w:sz w:val="28"/>
                <w:szCs w:val="28"/>
                <w:lang/>
              </w:rPr>
              <w:t>项目</w:t>
            </w: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jc w:val="center"/>
              <w:textAlignment w:val="center"/>
              <w:rPr>
                <w:rFonts w:ascii="黑体" w:eastAsia="黑体" w:hAnsi="黑体" w:cs="黑体" w:hint="eastAsia"/>
                <w:bCs/>
                <w:color w:val="000000"/>
                <w:sz w:val="28"/>
                <w:szCs w:val="28"/>
              </w:rPr>
            </w:pPr>
            <w:r>
              <w:rPr>
                <w:rFonts w:ascii="黑体" w:eastAsia="黑体" w:hAnsi="黑体" w:cs="黑体" w:hint="eastAsia"/>
                <w:bCs/>
                <w:color w:val="000000"/>
                <w:kern w:val="0"/>
                <w:sz w:val="28"/>
                <w:szCs w:val="28"/>
                <w:lang/>
              </w:rPr>
              <w:t>工作任务</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jc w:val="center"/>
              <w:textAlignment w:val="center"/>
              <w:rPr>
                <w:rFonts w:ascii="黑体" w:eastAsia="黑体" w:hAnsi="黑体" w:cs="黑体" w:hint="eastAsia"/>
                <w:bCs/>
                <w:color w:val="000000"/>
                <w:sz w:val="28"/>
                <w:szCs w:val="28"/>
              </w:rPr>
            </w:pPr>
            <w:r>
              <w:rPr>
                <w:rFonts w:ascii="黑体" w:eastAsia="黑体" w:hAnsi="黑体" w:cs="黑体" w:hint="eastAsia"/>
                <w:bCs/>
                <w:color w:val="000000"/>
                <w:kern w:val="0"/>
                <w:sz w:val="28"/>
                <w:szCs w:val="28"/>
                <w:lang/>
              </w:rPr>
              <w:t>责任单位</w:t>
            </w:r>
          </w:p>
        </w:tc>
      </w:tr>
      <w:tr w:rsidR="007766E1" w:rsidTr="00CD784C">
        <w:trPr>
          <w:trHeight w:val="1198"/>
        </w:trPr>
        <w:tc>
          <w:tcPr>
            <w:tcW w:w="219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一、加强“三医联动”，大力推广三明市医改经验</w:t>
            </w: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一）完善医改工作推进机制。学习推广三明市医改经验，加快推进“三医联动”改革。按照“腾空间、调结构、保衔接”的路径，以降药价为突破口，同步推进医疗服务价格、人事薪酬制度、医保支付方式等综合改革。</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24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县医改领导小组秘书处、医疗保障局、财政局、人力资源和社会保障局（排在第一的为牵头单位，下同）</w:t>
            </w:r>
          </w:p>
        </w:tc>
      </w:tr>
      <w:tr w:rsidR="007766E1" w:rsidTr="00CD784C">
        <w:trPr>
          <w:trHeight w:val="1387"/>
        </w:trPr>
        <w:tc>
          <w:tcPr>
            <w:tcW w:w="219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spacing w:line="300" w:lineRule="exact"/>
              <w:rPr>
                <w:rFonts w:ascii="仿宋_GB2312" w:hAnsi="仿宋_GB2312" w:cs="仿宋_GB2312" w:hint="eastAsia"/>
                <w:color w:val="000000"/>
                <w:sz w:val="21"/>
                <w:szCs w:val="21"/>
              </w:rPr>
            </w:pP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二）推进药品耗材集中采购。常态化开展药品、医用耗材集中带量采购，有序扩大集中带量采购范围。持续做好集中带量采购药品、医用耗材中选结果落地使用工作。落实医保基金预付、结余留用、结算回款等配套政策。落实医药价格和招采信用评价制度。推进统一医保药品、医用耗材分类与编码标准。推进医疗器械唯一标识在监管、医疗、医保等领域的衔接应用。</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县医疗保障局、财政局、人力资源和社会保障局、卫生健康局、市场监督管理局</w:t>
            </w:r>
          </w:p>
        </w:tc>
      </w:tr>
      <w:tr w:rsidR="007766E1" w:rsidTr="00CD784C">
        <w:trPr>
          <w:trHeight w:val="1109"/>
        </w:trPr>
        <w:tc>
          <w:tcPr>
            <w:tcW w:w="219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spacing w:line="300" w:lineRule="exact"/>
              <w:rPr>
                <w:rFonts w:ascii="仿宋_GB2312" w:hAnsi="仿宋_GB2312" w:cs="仿宋_GB2312" w:hint="eastAsia"/>
                <w:color w:val="000000"/>
                <w:sz w:val="21"/>
                <w:szCs w:val="21"/>
              </w:rPr>
            </w:pP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三）深化医疗服务价格改革。落实医疗服务价格动态调整机制，调整优化部分医疗服务项目价格，更好体现医务人员技术劳务价值。落实新版广西医疗服务项目价格规范。加强新增医疗服务价格项目管理，促进医疗新技术及时进入临床应用。</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县医疗保障局、卫生健康局</w:t>
            </w:r>
          </w:p>
        </w:tc>
      </w:tr>
      <w:tr w:rsidR="007766E1" w:rsidTr="00CD784C">
        <w:trPr>
          <w:trHeight w:val="2516"/>
        </w:trPr>
        <w:tc>
          <w:tcPr>
            <w:tcW w:w="219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spacing w:line="300" w:lineRule="exact"/>
              <w:rPr>
                <w:rFonts w:ascii="仿宋_GB2312" w:hAnsi="仿宋_GB2312" w:cs="仿宋_GB2312" w:hint="eastAsia"/>
                <w:color w:val="000000"/>
                <w:sz w:val="21"/>
                <w:szCs w:val="21"/>
              </w:rPr>
            </w:pP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四）深化人事薪酬制度改革。落实“两个允许”要求，制定县公立医院薪酬制度改革文件，建立适应医疗行业特点的公立医院薪酬制度，合理确定、动态调整公立医院薪酬水平。落实政府办医责任和公立医院投入政策。拓宽公立医院薪酬制度改革的经费渠道。允许公立医院自主设立薪酬项目，对公立医院主要负责人实行年薪制，年薪与医院持续性发展、医疗服务水平、党的建设等考核指标挂钩。允许公立医院按一定比例自主确定高层次和急需紧缺人才，实行年薪制、协议工资制等灵活多样的分配形式，薪资不列入、不占用所计提的绩效工资总量。改革完善医务人员职称评价机制，继续实施基层医疗机构卫生专业技术人员“定向评价、定向使用”的职称评审倾斜政策，鼓励卫生专业技术人员扎根防病治病一线。</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县人力资源和社会保障局、财政局、卫生健康局</w:t>
            </w:r>
          </w:p>
        </w:tc>
      </w:tr>
      <w:tr w:rsidR="007766E1" w:rsidTr="00CD784C">
        <w:trPr>
          <w:trHeight w:val="1254"/>
        </w:trPr>
        <w:tc>
          <w:tcPr>
            <w:tcW w:w="219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spacing w:line="300" w:lineRule="exact"/>
              <w:rPr>
                <w:rFonts w:ascii="仿宋_GB2312" w:hAnsi="仿宋_GB2312" w:cs="仿宋_GB2312" w:hint="eastAsia"/>
                <w:color w:val="000000"/>
                <w:sz w:val="21"/>
                <w:szCs w:val="21"/>
              </w:rPr>
            </w:pP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（五）推进医保支付方式改革。在统筹区域内总额预算管理下，完善按病种付费、按疾病诊断相关分组（</w:t>
            </w:r>
            <w:r>
              <w:rPr>
                <w:color w:val="000000"/>
                <w:kern w:val="0"/>
                <w:sz w:val="21"/>
                <w:szCs w:val="21"/>
                <w:lang/>
              </w:rPr>
              <w:t>DRG</w:t>
            </w:r>
            <w:r>
              <w:rPr>
                <w:rFonts w:ascii="仿宋_GB2312" w:hAnsi="仿宋_GB2312" w:cs="仿宋_GB2312" w:hint="eastAsia"/>
                <w:color w:val="000000"/>
                <w:kern w:val="0"/>
                <w:sz w:val="21"/>
                <w:szCs w:val="21"/>
                <w:lang/>
              </w:rPr>
              <w:t>）付费、按床日付费等多元复合式医保支付方式改革。完善基层医疗卫生机构医保政策，引导恢复期和康复期患者到基层就诊。</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县医疗保障局、财政局、卫生健康局</w:t>
            </w:r>
          </w:p>
        </w:tc>
      </w:tr>
      <w:tr w:rsidR="007766E1" w:rsidTr="00CD784C">
        <w:trPr>
          <w:trHeight w:val="2476"/>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一、加强“三医联动”，大力推广三明市医改经验</w:t>
            </w: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六）推动公立医院高质量发展。根据《广西推动公立医院高质量发展实施方案》，抓好贯彻落实。建立健全现代医院管理制度，强化模式、技术、管理创新，推进公立医院治理体系和管理能力现代化。坚持和加强党对公立医院的全面领导，全面落实党委领导下的院长负责制，全面推进党支部标准化、规范化建设，推动新时代公立医院党建高质量发展。深入实施公立医院绩效考核，健全以公益性为导向的考核指标和方式方法。加强对负债率较高公立医院的新立项目、大型设备购置资金支出的监管。加强公立医院运营管理，实行预算管理，以业务管理和经济管理为重点，完善内部控制制度。</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县卫生健康局，县委机构编制委员会办公室，县发展和改革局、财政局、人力资源和社会保障局、医疗保障局</w:t>
            </w:r>
          </w:p>
        </w:tc>
      </w:tr>
      <w:tr w:rsidR="007766E1" w:rsidTr="00CD784C">
        <w:trPr>
          <w:trHeight w:val="1431"/>
        </w:trPr>
        <w:tc>
          <w:tcPr>
            <w:tcW w:w="219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二、优化资源配置，加快完善分级诊疗体系</w:t>
            </w: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七）推动优质医疗资源扩容和均衡布局。持续推进高水平医院建设，积极支持区、市医疗中心建设。加强临床专科能力建设，重点发展重症、肿瘤、心脑血管、呼吸、感染等临床专科。积极支持社会办医发展。支持社会办医疗机构发展。</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县卫生健康局、发展和改革局</w:t>
            </w:r>
          </w:p>
        </w:tc>
      </w:tr>
      <w:tr w:rsidR="007766E1" w:rsidTr="00CD784C">
        <w:trPr>
          <w:trHeight w:val="1693"/>
        </w:trPr>
        <w:tc>
          <w:tcPr>
            <w:tcW w:w="219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spacing w:line="300" w:lineRule="exact"/>
              <w:rPr>
                <w:rFonts w:ascii="仿宋_GB2312" w:hAnsi="仿宋_GB2312" w:cs="仿宋_GB2312" w:hint="eastAsia"/>
                <w:color w:val="000000"/>
                <w:sz w:val="21"/>
                <w:szCs w:val="21"/>
              </w:rPr>
            </w:pP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八）推进医疗联合体建设。继续强化以县级医院为龙头的紧密型县域医共体建设，提升县域疾病防治水平和县域内就诊率。积极推进紧密型医疗联合体实行医保基金总额付费，加强监督考核，结余留用、合理超支分担，引导医疗联合体更加注重疾病预防、提升基层服务能力和推动基层首诊、双向转诊。推进专科联盟和远程医疗协作网发展。</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县卫生健康局、医疗保障局</w:t>
            </w:r>
          </w:p>
        </w:tc>
      </w:tr>
      <w:tr w:rsidR="007766E1" w:rsidTr="00CD784C">
        <w:trPr>
          <w:trHeight w:val="2511"/>
        </w:trPr>
        <w:tc>
          <w:tcPr>
            <w:tcW w:w="219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spacing w:line="300" w:lineRule="exact"/>
              <w:rPr>
                <w:rFonts w:ascii="仿宋_GB2312" w:hAnsi="仿宋_GB2312" w:cs="仿宋_GB2312" w:hint="eastAsia"/>
                <w:color w:val="000000"/>
                <w:sz w:val="21"/>
                <w:szCs w:val="21"/>
              </w:rPr>
            </w:pP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九）加快推进分级诊疗体系建设。推动各级各类医疗机构落实功能定位，加快形成常见病多发病在县域解决、小病在基层解决的就医格局。持续推进县级医院（含中医医院）服务和管理能力建设。改善基层医疗卫生机构基础设施条件，深入开展“优质服务基层行”活动。提高常见病、多发病诊疗、护理、康复等医疗服务能力。规范服务标准，做实做细家庭医生签约服务，提高家庭医生签约服务覆盖率和履约质量。落实加强基层医疗卫生人才保障的政策文件，积极推进“县招乡用”，推进“乡聘村用”，落实乡村医生待遇。落实基层中医药服务能力提升工程“十四五”行动计划。</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县卫生健康局、发展和改革局、人力资源和社会保障局、医疗保障局</w:t>
            </w:r>
          </w:p>
        </w:tc>
      </w:tr>
      <w:tr w:rsidR="007766E1" w:rsidTr="00CD784C">
        <w:trPr>
          <w:trHeight w:val="2266"/>
        </w:trPr>
        <w:tc>
          <w:tcPr>
            <w:tcW w:w="219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二、优化资源配置，加快完善分级诊疗体系</w:t>
            </w: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十）完善全民医保制度。巩固拓展医疗保障脱贫攻坚成果有效衔接乡村振兴战略，完善脱贫人口分类资助参保政策，健全防范因病致贫返贫风险长效机制。加快推进健全重特大疾病医疗保险和救助制度，提升重特大疾病保障水平，增强医疗救助托底保障能力。建立健全职工医保门诊共济保障机制。完善异地就医结算管理和服务，积极配合上级做好跨统筹地区医保关系转移接续工作。完善医保协议管理，建立动态进退机制，保障协议有效执行。推进医疗保障公共服务事项“全区通办”“跨省通办”。</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县医疗保障局、财政局、卫生健康局</w:t>
            </w:r>
          </w:p>
        </w:tc>
      </w:tr>
      <w:tr w:rsidR="007766E1" w:rsidTr="00CD784C">
        <w:trPr>
          <w:trHeight w:val="1560"/>
        </w:trPr>
        <w:tc>
          <w:tcPr>
            <w:tcW w:w="219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spacing w:line="300" w:lineRule="exact"/>
              <w:rPr>
                <w:rFonts w:ascii="仿宋_GB2312" w:hAnsi="仿宋_GB2312" w:cs="仿宋_GB2312" w:hint="eastAsia"/>
                <w:color w:val="000000"/>
                <w:sz w:val="21"/>
                <w:szCs w:val="21"/>
              </w:rPr>
            </w:pP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十一）推动中医药振兴发展。加快推进中医药壮瑶医药传承创新发展。强化基层中医馆建设。实施中医药康复服务能力提升工程和中医治未病健康工程。开展非中医类别医师中医药培训。探索符合中医药特点的医保支付方式，发挥中医优势病种，鼓励实行中西医同病同效同价。</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县卫生健康局、发展和改革局、医疗保障局</w:t>
            </w:r>
          </w:p>
        </w:tc>
      </w:tr>
      <w:tr w:rsidR="007766E1" w:rsidTr="00CD784C">
        <w:trPr>
          <w:trHeight w:val="2431"/>
        </w:trPr>
        <w:tc>
          <w:tcPr>
            <w:tcW w:w="219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lastRenderedPageBreak/>
              <w:t>三、坚持预防为主，持续加强公共卫生体系建设</w:t>
            </w: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十二）加强新冠肺炎疫情防控。坚持“外防输入、内防反弹”工作方针，严格执行入境人员“三查三排一转运”制度，实行疫情动态监测全覆盖，完善大规模核酸采样应急预案，抓好常态化疫情防控。加快推进新冠病毒疫苗接种。推动完善公共卫生重大风险评估、研判、决策机制。落实广西突发公共卫生事件应急预案要求，完善我县突发公共卫生事件应急预案。积极推进县级公共卫生应急指挥中心、卫生应急队伍和</w:t>
            </w:r>
            <w:r>
              <w:rPr>
                <w:color w:val="000000"/>
                <w:kern w:val="0"/>
                <w:sz w:val="21"/>
                <w:szCs w:val="21"/>
                <w:lang/>
              </w:rPr>
              <w:t>120</w:t>
            </w:r>
            <w:r>
              <w:rPr>
                <w:rFonts w:ascii="仿宋_GB2312" w:hAnsi="仿宋_GB2312" w:cs="仿宋_GB2312" w:hint="eastAsia"/>
                <w:color w:val="000000"/>
                <w:kern w:val="0"/>
                <w:sz w:val="21"/>
                <w:szCs w:val="21"/>
                <w:lang/>
              </w:rPr>
              <w:t>急救指挥中心建设，加强公共卫生应急物资供应体系、储备体系和物流运输体系建设。</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县卫生健康局、发展和改革局、科技工贸和信息化局、财政局、交通运输局、医疗保障局、市场监督管理局</w:t>
            </w:r>
          </w:p>
        </w:tc>
      </w:tr>
      <w:tr w:rsidR="007766E1" w:rsidTr="00CD784C">
        <w:trPr>
          <w:trHeight w:val="1826"/>
        </w:trPr>
        <w:tc>
          <w:tcPr>
            <w:tcW w:w="219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spacing w:line="300" w:lineRule="exact"/>
              <w:rPr>
                <w:rFonts w:ascii="仿宋_GB2312" w:hAnsi="仿宋_GB2312" w:cs="仿宋_GB2312" w:hint="eastAsia"/>
                <w:color w:val="000000"/>
                <w:sz w:val="21"/>
                <w:szCs w:val="21"/>
              </w:rPr>
            </w:pP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（十三）深化疾病预防控制体系改革。建立稳定的公共卫生事业投入机制，创新科研和社会化服务机制。</w:t>
            </w:r>
            <w:r>
              <w:rPr>
                <w:rFonts w:ascii="仿宋_GB2312" w:hAnsi="仿宋_GB2312" w:cs="仿宋_GB2312" w:hint="eastAsia"/>
                <w:kern w:val="0"/>
                <w:sz w:val="21"/>
                <w:szCs w:val="21"/>
                <w:lang/>
              </w:rPr>
              <w:t>加强公共卫生机构人才队伍和实验室建设，</w:t>
            </w:r>
            <w:r>
              <w:rPr>
                <w:rFonts w:ascii="仿宋_GB2312" w:hAnsi="仿宋_GB2312" w:cs="仿宋_GB2312" w:hint="eastAsia"/>
                <w:color w:val="000000"/>
                <w:kern w:val="0"/>
                <w:sz w:val="21"/>
                <w:szCs w:val="21"/>
                <w:lang/>
              </w:rPr>
              <w:t>提升重大公共卫生应急和防控能力。推进定点医院传染病区和医疗机构发热门诊（哨点）改造或建设。支持针对重大疾病和传染性疾病预防、诊断、治疗等方面的科技创新。</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县卫生健康局、发展和改革局、科技工贸和信息化局、财政局、人力资源和社会保障局</w:t>
            </w:r>
          </w:p>
        </w:tc>
      </w:tr>
      <w:tr w:rsidR="007766E1" w:rsidTr="00CD784C">
        <w:trPr>
          <w:trHeight w:val="3192"/>
        </w:trPr>
        <w:tc>
          <w:tcPr>
            <w:tcW w:w="219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三、坚持预防为主，持续加强公共卫生体系建设</w:t>
            </w: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十四）持续推进健康融安建设。强化市场监管，坚决依法打击非法兜售保健品、坑蒙拐骗等行为。扩大高发癌症筛查覆盖范围，开展县级癌症筛查和早诊早治中心建设试点。推进儿童青少年近视防控和超重肥胖防控，强化视力健康状况监测，开展近视防控试点。加强艾滋病、地方病、职业病等重大疾病防治，实施新一轮艾滋病防治攻坚工程。完善全民健身公共服务体系，推动体医融合健康服务中心和站点建设。推动老年健康服务体系建设，鼓励有条件的二级以上综合医院设立老年医学科，全面推进养老服务机构与医疗卫生机构开展签约合作服务，增加医养结合服务供给。深入开展爱国卫生运动，倡导文明健康绿色环保生活方式。</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县卫生健康局，县委宣传部，县教育局、民政局、市场监督管理局、文化体育广电和旅游局、医疗保障局</w:t>
            </w:r>
          </w:p>
        </w:tc>
      </w:tr>
      <w:tr w:rsidR="007766E1" w:rsidTr="00CD784C">
        <w:trPr>
          <w:trHeight w:val="2471"/>
        </w:trPr>
        <w:tc>
          <w:tcPr>
            <w:tcW w:w="219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spacing w:line="300" w:lineRule="exact"/>
              <w:rPr>
                <w:rFonts w:ascii="仿宋_GB2312" w:hAnsi="仿宋_GB2312" w:cs="仿宋_GB2312" w:hint="eastAsia"/>
                <w:color w:val="000000"/>
                <w:sz w:val="21"/>
                <w:szCs w:val="21"/>
              </w:rPr>
            </w:pP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十五）创新医防协同机制。强化疾病预防控制中心技术指导、人员培训、督导评价等职能，督促各级医疗机构落实疾病预防控制职责。鼓励疾控机构参加医疗联合体建设，推动疾控机构与医疗机构在慢性病综合防治方面业务融合。推进公立医院公共卫生科室标准化建设，强化县级医院公共卫生服务职能。完善妇幼保健机构内部管理，提供防治结合的医疗保健服务。依托现有医疗卫生机构，提升职业病预防控制、诊断治疗、康复能力。</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县卫生健康局、发展和改革局、财政局</w:t>
            </w:r>
          </w:p>
        </w:tc>
      </w:tr>
      <w:tr w:rsidR="007766E1" w:rsidTr="00CD784C">
        <w:trPr>
          <w:trHeight w:val="2471"/>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四、强化支撑保障，统筹推进相关领域改革</w:t>
            </w: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（十六）推进全民健康信息化建设。加强智慧医院建设，推动人工智能、第五代移动通信（</w:t>
            </w:r>
            <w:r>
              <w:rPr>
                <w:color w:val="000000"/>
                <w:kern w:val="0"/>
                <w:sz w:val="21"/>
                <w:szCs w:val="21"/>
                <w:lang/>
              </w:rPr>
              <w:t>5G</w:t>
            </w:r>
            <w:r>
              <w:rPr>
                <w:rFonts w:ascii="仿宋_GB2312" w:hAnsi="仿宋_GB2312" w:cs="仿宋_GB2312" w:hint="eastAsia"/>
                <w:color w:val="000000"/>
                <w:kern w:val="0"/>
                <w:sz w:val="21"/>
                <w:szCs w:val="21"/>
                <w:lang/>
              </w:rPr>
              <w:t>）等新技术应用。规范互联网诊疗服务，严格实行监管。规范零售药店互联网零售服务，鼓励医保定点药店积极开展医保网上购药等便民服务。指导医疗机构提供多渠道挂号等就诊服务，优化老年人网上办理就医服务，着力解决老年人等群体运用智能技术困难的问题。</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县卫生健康局、发展和改革局、科技工贸和信息化局、医疗保障局</w:t>
            </w:r>
          </w:p>
        </w:tc>
      </w:tr>
      <w:tr w:rsidR="007766E1" w:rsidTr="00CD784C">
        <w:trPr>
          <w:trHeight w:val="1824"/>
        </w:trPr>
        <w:tc>
          <w:tcPr>
            <w:tcW w:w="219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四、强化支撑保障，统筹推进相关领域改革</w:t>
            </w: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十七）改善群众服务体验。深入推进“互联网＋医疗健康”、“五个一”服务行动。推广多学科诊疗、日间手术等服务模式，提高日间手术占择期手术的比例。加快完善分时段预约诊疗制度，优化预约诊疗流程。推动医疗机构优化线上线下支付流程，改善结算模式，加强与医保、商保、银联、第三方支付机构合作，提供多种在线支付方式。推进先诊疗后结算或一站式缴费改革试点。推进医学检验和医学影像等检查结果互认。</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县卫生健康局、发展和改革局、医疗保障局</w:t>
            </w:r>
          </w:p>
        </w:tc>
      </w:tr>
      <w:tr w:rsidR="007766E1" w:rsidTr="00CD784C">
        <w:trPr>
          <w:trHeight w:val="2400"/>
        </w:trPr>
        <w:tc>
          <w:tcPr>
            <w:tcW w:w="219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spacing w:line="300" w:lineRule="exact"/>
              <w:rPr>
                <w:rFonts w:ascii="仿宋_GB2312" w:hAnsi="仿宋_GB2312" w:cs="仿宋_GB2312" w:hint="eastAsia"/>
                <w:color w:val="000000"/>
                <w:sz w:val="21"/>
                <w:szCs w:val="21"/>
              </w:rPr>
            </w:pP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十八）加强医学人才培养和使用。加强公共卫生人才培养。加强全科医生等紧缺人才培养，继续实施农村订单定向医学生免费培养项目。对经住院医师规范化培训合格的本科学历临床医师，在招聘、职称晋升、岗位聘用、薪酬待遇等方面与临床医学、口腔医学、中医专业学位硕士研究生同等对待。加强农村订单定向医学生就业安置和履约管理，将定向生违约情况纳入信用信息管理。加强校医队伍建设，统筹安排乡镇卫生院、村卫生室医生到学校担任校医的中小学校内医疗服务试点工作。</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县卫生健康局、教育局、人力资源和社会保障局、行政审批局</w:t>
            </w:r>
          </w:p>
        </w:tc>
      </w:tr>
      <w:tr w:rsidR="007766E1" w:rsidTr="00CD784C">
        <w:trPr>
          <w:trHeight w:val="1644"/>
        </w:trPr>
        <w:tc>
          <w:tcPr>
            <w:tcW w:w="219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spacing w:line="300" w:lineRule="exact"/>
              <w:rPr>
                <w:rFonts w:ascii="仿宋_GB2312" w:hAnsi="仿宋_GB2312" w:cs="仿宋_GB2312" w:hint="eastAsia"/>
                <w:color w:val="000000"/>
                <w:sz w:val="21"/>
                <w:szCs w:val="21"/>
              </w:rPr>
            </w:pP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十九）强化药品供应保障能力。继续完善短缺药品监测预警和分级应对机制。贯彻落实国家基本药物制度，实施国家基本药物制度综合试点工作，促进基本药物优先配备使用和医疗联合体内上下级医疗机构用药衔接。加强医疗机构药事管理和药学服务，促进合理用药。</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县医疗保障局、卫生健康局</w:t>
            </w:r>
          </w:p>
        </w:tc>
      </w:tr>
      <w:tr w:rsidR="007766E1" w:rsidTr="00CD784C">
        <w:trPr>
          <w:trHeight w:val="2266"/>
        </w:trPr>
        <w:tc>
          <w:tcPr>
            <w:tcW w:w="219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66E1" w:rsidRDefault="007766E1" w:rsidP="00CD784C">
            <w:pPr>
              <w:spacing w:line="300" w:lineRule="exact"/>
              <w:rPr>
                <w:rFonts w:ascii="仿宋_GB2312" w:hAnsi="仿宋_GB2312" w:cs="仿宋_GB2312" w:hint="eastAsia"/>
                <w:color w:val="000000"/>
                <w:sz w:val="21"/>
                <w:szCs w:val="21"/>
              </w:rPr>
            </w:pPr>
          </w:p>
        </w:tc>
        <w:tc>
          <w:tcPr>
            <w:tcW w:w="91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二十）严格监督管理。完善医疗卫生行业综合监管督察机制。推行医疗卫生行业“互联网＋监管”，加快完善“双随机、一公开”监督抽查、飞行检查等精准监管机制，强化监管结果公开和责任追究。落实《广西壮族自治区医师不良执业行为记分管理办法》，开展打击非法医疗美容服务、非法应用人类辅助生殖技术等违法违规行为专项整治行动。深化医保基金监管制度体系改革，探索医保基金监管新模式，完善医保智能监管机制。开展打击欺诈骗保专项整治行动。加大医药价格监管力度，规范医疗收费行为。加强药品领域反垄断执法，依法查处垄断协议、滥用市场支配地位等违法行为。</w:t>
            </w:r>
          </w:p>
        </w:tc>
        <w:tc>
          <w:tcPr>
            <w:tcW w:w="27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66E1" w:rsidRDefault="007766E1" w:rsidP="00CD784C">
            <w:pPr>
              <w:widowControl/>
              <w:spacing w:line="300" w:lineRule="exact"/>
              <w:textAlignment w:val="center"/>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县卫生健康局、市场监督管理局、医疗保障局</w:t>
            </w:r>
          </w:p>
        </w:tc>
      </w:tr>
    </w:tbl>
    <w:p w:rsidR="007766E1" w:rsidRDefault="007766E1" w:rsidP="007766E1">
      <w:pPr>
        <w:pStyle w:val="-1"/>
        <w:ind w:firstLineChars="0" w:firstLine="0"/>
        <w:rPr>
          <w:sz w:val="32"/>
          <w:szCs w:val="32"/>
        </w:rPr>
        <w:sectPr w:rsidR="007766E1">
          <w:pgSz w:w="16840" w:h="11907" w:orient="landscape"/>
          <w:pgMar w:top="1418" w:right="1418" w:bottom="1418" w:left="1418" w:header="851" w:footer="992" w:gutter="0"/>
          <w:cols w:space="720"/>
          <w:docGrid w:linePitch="312"/>
        </w:sectPr>
      </w:pPr>
    </w:p>
    <w:p w:rsidR="0019665C" w:rsidRDefault="0019665C"/>
    <w:sectPr w:rsidR="0019665C" w:rsidSect="001966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66E1"/>
    <w:rsid w:val="0019665C"/>
    <w:rsid w:val="007766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766E1"/>
    <w:pPr>
      <w:widowControl w:val="0"/>
      <w:jc w:val="both"/>
    </w:pPr>
    <w:rPr>
      <w:rFonts w:ascii="Times New Roman" w:eastAsia="仿宋_GB2312" w:hAnsi="Times New Roman"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10"/>
    <w:qFormat/>
    <w:rsid w:val="007766E1"/>
    <w:pPr>
      <w:spacing w:before="240" w:after="60"/>
      <w:jc w:val="center"/>
      <w:outlineLvl w:val="0"/>
    </w:pPr>
    <w:rPr>
      <w:rFonts w:ascii="Arial" w:hAnsi="Arial" w:cs="Arial"/>
      <w:b/>
      <w:bCs/>
    </w:rPr>
  </w:style>
  <w:style w:type="character" w:customStyle="1" w:styleId="Char">
    <w:name w:val="标题 Char"/>
    <w:basedOn w:val="a1"/>
    <w:link w:val="a0"/>
    <w:uiPriority w:val="10"/>
    <w:rsid w:val="007766E1"/>
    <w:rPr>
      <w:rFonts w:ascii="Arial" w:eastAsia="仿宋_GB2312" w:hAnsi="Arial" w:cs="Arial"/>
      <w:b/>
      <w:bCs/>
      <w:sz w:val="32"/>
      <w:szCs w:val="32"/>
    </w:rPr>
  </w:style>
  <w:style w:type="paragraph" w:customStyle="1" w:styleId="-1">
    <w:name w:val="正文-公1"/>
    <w:basedOn w:val="a"/>
    <w:qFormat/>
    <w:rsid w:val="007766E1"/>
    <w:pPr>
      <w:ind w:firstLineChars="200" w:firstLine="200"/>
      <w:jc w:val="left"/>
    </w:pPr>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2021-12-23T01:02:00Z</dcterms:created>
  <dcterms:modified xsi:type="dcterms:W3CDTF">2021-12-23T01:03:00Z</dcterms:modified>
</cp:coreProperties>
</file>