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F7" w:rsidRDefault="00DD4BF7" w:rsidP="00DD4BF7">
      <w:pPr>
        <w:adjustRightInd w:val="0"/>
        <w:snapToGrid w:val="0"/>
        <w:spacing w:line="560" w:lineRule="exact"/>
        <w:rPr>
          <w:rFonts w:ascii="黑体" w:eastAsia="黑体" w:hint="eastAsia"/>
          <w:sz w:val="32"/>
          <w:szCs w:val="32"/>
        </w:rPr>
      </w:pPr>
      <w:r>
        <w:rPr>
          <w:rFonts w:ascii="黑体" w:eastAsia="黑体" w:hint="eastAsia"/>
          <w:sz w:val="32"/>
          <w:szCs w:val="32"/>
        </w:rPr>
        <w:t>附件1</w:t>
      </w:r>
    </w:p>
    <w:p w:rsidR="00DD4BF7" w:rsidRDefault="00DD4BF7" w:rsidP="00DD4BF7">
      <w:pPr>
        <w:adjustRightInd w:val="0"/>
        <w:snapToGrid w:val="0"/>
        <w:spacing w:line="560" w:lineRule="exact"/>
        <w:rPr>
          <w:rFonts w:ascii="黑体" w:eastAsia="黑体" w:hint="eastAsia"/>
          <w:sz w:val="32"/>
          <w:szCs w:val="32"/>
        </w:rPr>
      </w:pPr>
    </w:p>
    <w:p w:rsidR="00DD4BF7" w:rsidRDefault="00DD4BF7" w:rsidP="00DD4BF7">
      <w:pPr>
        <w:adjustRightInd w:val="0"/>
        <w:snapToGrid w:val="0"/>
        <w:spacing w:line="700" w:lineRule="exact"/>
        <w:jc w:val="center"/>
        <w:rPr>
          <w:rFonts w:ascii="方正小标宋简体" w:eastAsia="方正小标宋简体"/>
          <w:sz w:val="44"/>
          <w:szCs w:val="44"/>
        </w:rPr>
      </w:pPr>
      <w:bookmarkStart w:id="0" w:name="_Hlk55925512"/>
      <w:r>
        <w:rPr>
          <w:rFonts w:ascii="方正小标宋简体" w:eastAsia="方正小标宋简体" w:hAnsi="方正小标宋简体" w:cs="方正小标宋简体" w:hint="eastAsia"/>
          <w:sz w:val="44"/>
          <w:szCs w:val="44"/>
        </w:rPr>
        <w:t>2021年融安县创建自治区健康促进县工作任务分解表</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0"/>
        <w:gridCol w:w="980"/>
        <w:gridCol w:w="2300"/>
        <w:gridCol w:w="4803"/>
        <w:gridCol w:w="1995"/>
        <w:gridCol w:w="795"/>
        <w:gridCol w:w="1665"/>
        <w:gridCol w:w="1064"/>
      </w:tblGrid>
      <w:tr w:rsidR="00DD4BF7" w:rsidTr="00CE69B7">
        <w:trPr>
          <w:trHeight w:val="590"/>
          <w:tblHeader/>
        </w:trPr>
        <w:tc>
          <w:tcPr>
            <w:tcW w:w="980" w:type="dxa"/>
            <w:vAlign w:val="center"/>
          </w:tcPr>
          <w:bookmarkEnd w:id="0"/>
          <w:p w:rsidR="00DD4BF7" w:rsidRDefault="00DD4BF7" w:rsidP="00CE69B7">
            <w:pPr>
              <w:widowControl/>
              <w:jc w:val="center"/>
              <w:rPr>
                <w:rFonts w:ascii="宋体" w:hAnsi="宋体" w:cs="宋体"/>
                <w:b/>
                <w:bCs/>
                <w:color w:val="000000"/>
                <w:kern w:val="0"/>
                <w:szCs w:val="21"/>
              </w:rPr>
            </w:pPr>
            <w:r>
              <w:rPr>
                <w:rFonts w:ascii="宋体" w:hAnsi="宋体" w:cs="宋体" w:hint="eastAsia"/>
                <w:b/>
                <w:bCs/>
                <w:color w:val="000000"/>
                <w:kern w:val="0"/>
                <w:szCs w:val="21"/>
              </w:rPr>
              <w:t>一级</w:t>
            </w:r>
            <w:r>
              <w:rPr>
                <w:rFonts w:ascii="宋体" w:hAnsi="宋体" w:cs="宋体" w:hint="eastAsia"/>
                <w:b/>
                <w:bCs/>
                <w:color w:val="000000"/>
                <w:kern w:val="0"/>
                <w:szCs w:val="21"/>
              </w:rPr>
              <w:br/>
              <w:t>指标</w:t>
            </w:r>
          </w:p>
        </w:tc>
        <w:tc>
          <w:tcPr>
            <w:tcW w:w="980" w:type="dxa"/>
            <w:vAlign w:val="center"/>
          </w:tcPr>
          <w:p w:rsidR="00DD4BF7" w:rsidRDefault="00DD4BF7" w:rsidP="00CE69B7">
            <w:pPr>
              <w:widowControl/>
              <w:jc w:val="center"/>
              <w:rPr>
                <w:rFonts w:ascii="宋体" w:hAnsi="宋体" w:cs="宋体"/>
                <w:b/>
                <w:bCs/>
                <w:color w:val="000000"/>
                <w:kern w:val="0"/>
                <w:szCs w:val="21"/>
              </w:rPr>
            </w:pPr>
            <w:r>
              <w:rPr>
                <w:rFonts w:ascii="宋体" w:hAnsi="宋体" w:cs="宋体" w:hint="eastAsia"/>
                <w:b/>
                <w:bCs/>
                <w:color w:val="000000"/>
                <w:kern w:val="0"/>
                <w:szCs w:val="21"/>
              </w:rPr>
              <w:t>二级</w:t>
            </w:r>
            <w:r>
              <w:rPr>
                <w:rFonts w:ascii="宋体" w:hAnsi="宋体" w:cs="宋体" w:hint="eastAsia"/>
                <w:b/>
                <w:bCs/>
                <w:color w:val="000000"/>
                <w:kern w:val="0"/>
                <w:szCs w:val="21"/>
              </w:rPr>
              <w:br/>
              <w:t>指标</w:t>
            </w:r>
          </w:p>
        </w:tc>
        <w:tc>
          <w:tcPr>
            <w:tcW w:w="2300" w:type="dxa"/>
            <w:vAlign w:val="center"/>
          </w:tcPr>
          <w:p w:rsidR="00DD4BF7" w:rsidRDefault="00DD4BF7" w:rsidP="00CE69B7">
            <w:pPr>
              <w:widowControl/>
              <w:jc w:val="center"/>
              <w:rPr>
                <w:rFonts w:ascii="宋体" w:hAnsi="宋体" w:cs="宋体"/>
                <w:b/>
                <w:bCs/>
                <w:color w:val="000000"/>
                <w:kern w:val="0"/>
                <w:szCs w:val="21"/>
              </w:rPr>
            </w:pPr>
            <w:r>
              <w:rPr>
                <w:rFonts w:ascii="宋体" w:hAnsi="宋体" w:cs="宋体" w:hint="eastAsia"/>
                <w:b/>
                <w:bCs/>
                <w:color w:val="000000"/>
                <w:kern w:val="0"/>
                <w:szCs w:val="21"/>
              </w:rPr>
              <w:t>指标要求</w:t>
            </w:r>
          </w:p>
        </w:tc>
        <w:tc>
          <w:tcPr>
            <w:tcW w:w="4803" w:type="dxa"/>
            <w:vAlign w:val="center"/>
          </w:tcPr>
          <w:p w:rsidR="00DD4BF7" w:rsidRDefault="00DD4BF7" w:rsidP="00CE69B7">
            <w:pPr>
              <w:widowControl/>
              <w:jc w:val="center"/>
              <w:rPr>
                <w:rFonts w:ascii="宋体" w:hAnsi="宋体" w:cs="宋体"/>
                <w:b/>
                <w:bCs/>
                <w:color w:val="000000"/>
                <w:kern w:val="0"/>
                <w:szCs w:val="21"/>
              </w:rPr>
            </w:pPr>
            <w:r>
              <w:rPr>
                <w:rFonts w:ascii="宋体" w:hAnsi="宋体" w:cs="宋体" w:hint="eastAsia"/>
                <w:b/>
                <w:bCs/>
                <w:color w:val="000000"/>
                <w:kern w:val="0"/>
                <w:szCs w:val="21"/>
              </w:rPr>
              <w:t>评分标准</w:t>
            </w:r>
          </w:p>
        </w:tc>
        <w:tc>
          <w:tcPr>
            <w:tcW w:w="1995" w:type="dxa"/>
            <w:vAlign w:val="center"/>
          </w:tcPr>
          <w:p w:rsidR="00DD4BF7" w:rsidRDefault="00DD4BF7" w:rsidP="00CE69B7">
            <w:pPr>
              <w:widowControl/>
              <w:jc w:val="center"/>
              <w:rPr>
                <w:rFonts w:ascii="宋体" w:hAnsi="宋体" w:cs="宋体"/>
                <w:b/>
                <w:bCs/>
                <w:color w:val="000000"/>
                <w:kern w:val="0"/>
                <w:szCs w:val="21"/>
              </w:rPr>
            </w:pPr>
            <w:r>
              <w:rPr>
                <w:rFonts w:ascii="宋体" w:hAnsi="宋体" w:cs="宋体" w:hint="eastAsia"/>
                <w:b/>
                <w:bCs/>
                <w:color w:val="000000"/>
                <w:kern w:val="0"/>
                <w:szCs w:val="21"/>
              </w:rPr>
              <w:t>评估办法</w:t>
            </w:r>
          </w:p>
        </w:tc>
        <w:tc>
          <w:tcPr>
            <w:tcW w:w="795" w:type="dxa"/>
            <w:vAlign w:val="center"/>
          </w:tcPr>
          <w:p w:rsidR="00DD4BF7" w:rsidRDefault="00DD4BF7" w:rsidP="00CE69B7">
            <w:pPr>
              <w:widowControl/>
              <w:jc w:val="center"/>
              <w:rPr>
                <w:rFonts w:ascii="宋体" w:hAnsi="宋体" w:cs="宋体"/>
                <w:b/>
                <w:bCs/>
                <w:color w:val="000000"/>
                <w:kern w:val="0"/>
                <w:szCs w:val="21"/>
              </w:rPr>
            </w:pPr>
            <w:r>
              <w:rPr>
                <w:rFonts w:ascii="宋体" w:hAnsi="宋体" w:cs="宋体" w:hint="eastAsia"/>
                <w:b/>
                <w:bCs/>
                <w:color w:val="000000"/>
                <w:kern w:val="0"/>
                <w:szCs w:val="21"/>
              </w:rPr>
              <w:t>权重(分)</w:t>
            </w:r>
          </w:p>
        </w:tc>
        <w:tc>
          <w:tcPr>
            <w:tcW w:w="1665" w:type="dxa"/>
            <w:vAlign w:val="center"/>
          </w:tcPr>
          <w:p w:rsidR="00DD4BF7" w:rsidRDefault="00DD4BF7" w:rsidP="00CE69B7">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责任单位</w:t>
            </w:r>
          </w:p>
        </w:tc>
        <w:tc>
          <w:tcPr>
            <w:tcW w:w="1064" w:type="dxa"/>
            <w:vAlign w:val="center"/>
          </w:tcPr>
          <w:p w:rsidR="00DD4BF7" w:rsidRDefault="00DD4BF7" w:rsidP="00CE69B7">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完成时限</w:t>
            </w:r>
          </w:p>
        </w:tc>
      </w:tr>
      <w:tr w:rsidR="00DD4BF7" w:rsidTr="00CE69B7">
        <w:trPr>
          <w:trHeight w:val="2605"/>
        </w:trPr>
        <w:tc>
          <w:tcPr>
            <w:tcW w:w="9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一、组织管理（150分）</w:t>
            </w: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一、组织管理（150分）</w:t>
            </w:r>
          </w:p>
        </w:tc>
        <w:tc>
          <w:tcPr>
            <w:tcW w:w="9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lastRenderedPageBreak/>
              <w:t>1.政府承诺</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县政府公开承诺开展健康促进县工作，将健康促进县建设纳入政府重点工作。</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（1）县政府公开承诺，得10分。</w:t>
            </w:r>
            <w:r>
              <w:rPr>
                <w:rFonts w:ascii="宋体" w:hAnsi="宋体" w:cs="宋体" w:hint="eastAsia"/>
                <w:color w:val="000000"/>
                <w:kern w:val="0"/>
                <w:szCs w:val="21"/>
              </w:rPr>
              <w:br/>
              <w:t>公开承诺主要体现在，经过宣传使老百姓知晓县政府在牵头组织开展健康促进县区建设工作，如：在报刊、电视等主流媒体、政府官方网站、微信公众号等信息平台，刊播县政府启动建设工作、将建设工作列入政府工作报告（发展规划）等重要信息，或刊载创建承诺书；在各社区宣传栏张贴创建承诺书；在主要交通道路通过大型广告牌、电子屏告知等。</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检查相片、电视或网站截图等档案资料，或实地查看。</w:t>
            </w: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Merge w:val="restart"/>
            <w:vAlign w:val="center"/>
          </w:tcPr>
          <w:p w:rsidR="00DD4BF7" w:rsidRDefault="00DD4BF7" w:rsidP="00CE69B7">
            <w:pPr>
              <w:widowControl/>
              <w:spacing w:line="240" w:lineRule="exact"/>
              <w:rPr>
                <w:rFonts w:ascii="宋体" w:hAnsi="宋体" w:cs="宋体"/>
                <w:b/>
                <w:bCs/>
                <w:color w:val="000000"/>
                <w:kern w:val="0"/>
                <w:szCs w:val="21"/>
              </w:rPr>
            </w:pPr>
            <w:r>
              <w:rPr>
                <w:rFonts w:ascii="宋体" w:hAnsi="宋体" w:cs="宋体" w:hint="eastAsia"/>
                <w:color w:val="000000"/>
                <w:kern w:val="0"/>
                <w:szCs w:val="21"/>
              </w:rPr>
              <w:t>县人民政府办公室、县卫生健康局</w:t>
            </w:r>
          </w:p>
        </w:tc>
        <w:tc>
          <w:tcPr>
            <w:tcW w:w="1064"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90"/>
        </w:trPr>
        <w:tc>
          <w:tcPr>
            <w:tcW w:w="9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（2）纳入政府重点工作（如纳入政府工作报告、发展规划等），印发正式文件得10分，否则不得分。</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检查文件资料。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ign w:val="center"/>
          </w:tcPr>
          <w:p w:rsidR="00DD4BF7" w:rsidRDefault="00DD4BF7" w:rsidP="00CE69B7">
            <w:pPr>
              <w:widowControl/>
              <w:spacing w:line="240" w:lineRule="exact"/>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left"/>
              <w:rPr>
                <w:rFonts w:ascii="宋体" w:hAnsi="宋体" w:cs="宋体" w:hint="eastAsia"/>
                <w:color w:val="000000"/>
                <w:kern w:val="0"/>
                <w:szCs w:val="21"/>
              </w:rPr>
            </w:pPr>
          </w:p>
        </w:tc>
      </w:tr>
      <w:tr w:rsidR="00DD4BF7" w:rsidTr="00CE69B7">
        <w:trPr>
          <w:trHeight w:val="1080"/>
        </w:trPr>
        <w:tc>
          <w:tcPr>
            <w:tcW w:w="9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2.协调机制</w:t>
            </w: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建立县政府主要负责人牵头、多部门参与的健康促进领导协调机制，部门职责明确。定期召开协调会议，通报工作进展。</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（1）印发正式文件，明确县长任组长得10分，分管县长任组长得8分。</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检查文件资料。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Times New Roman" w:hAnsi="Times New Roman"/>
                <w:color w:val="000000"/>
                <w:kern w:val="0"/>
                <w:szCs w:val="21"/>
              </w:rPr>
            </w:pPr>
            <w:r>
              <w:rPr>
                <w:rFonts w:ascii="宋体" w:hAnsi="宋体" w:cs="宋体" w:hint="eastAsia"/>
                <w:color w:val="000000"/>
                <w:kern w:val="0"/>
                <w:szCs w:val="21"/>
              </w:rPr>
              <w:t>县人民政府办公室、县卫生健康局</w:t>
            </w:r>
          </w:p>
        </w:tc>
        <w:tc>
          <w:tcPr>
            <w:tcW w:w="1064"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2021年10月29日前</w:t>
            </w:r>
          </w:p>
        </w:tc>
      </w:tr>
      <w:tr w:rsidR="00DD4BF7" w:rsidTr="00CE69B7">
        <w:trPr>
          <w:trHeight w:val="1228"/>
        </w:trPr>
        <w:tc>
          <w:tcPr>
            <w:tcW w:w="9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（2）每召开1次领导协调会议得2.5分，两年不超过10分。</w:t>
            </w:r>
            <w:r>
              <w:rPr>
                <w:rFonts w:ascii="宋体" w:hAnsi="宋体" w:cs="宋体" w:hint="eastAsia"/>
                <w:color w:val="000000"/>
                <w:kern w:val="0"/>
                <w:szCs w:val="21"/>
              </w:rPr>
              <w:br/>
              <w:t>建立长效工作机制，定期（如每季度、半年召开一次会议）和不定期（根据工作进展需要及时召开）相结合。</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检查会议通知、会议记录（纪要）、签到表、相片等档案资料。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1580"/>
        </w:trPr>
        <w:tc>
          <w:tcPr>
            <w:tcW w:w="980" w:type="dxa"/>
            <w:vMerge/>
            <w:shd w:val="clear" w:color="auto" w:fill="auto"/>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restart"/>
            <w:tcBorders>
              <w:top w:val="single" w:sz="8" w:space="0" w:color="000000"/>
              <w:left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3.工作网络</w:t>
            </w:r>
          </w:p>
        </w:tc>
        <w:tc>
          <w:tcPr>
            <w:tcW w:w="23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建立覆盖政府有关组成部门、乡镇、学校、机关、企业的健康促进工作网络</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1）收集统计辖区内政府组成部门、乡镇、学校、机关、企业等各类单位名称及总数，各单位健康促进与教育工作专兼职人员姓名、联系方式等信息，计算网络覆盖率（网络覆盖率=设有专兼职人员的单位数/辖区内各类单位总数×100%）。网络覆盖率100%得10分、达50%得5分。</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检查各类单位及专兼职人员名单（信息表或构成图）等档案资料。</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1665" w:type="dxa"/>
            <w:vMerge w:val="restart"/>
            <w:tcBorders>
              <w:top w:val="single" w:sz="8" w:space="0" w:color="000000"/>
              <w:left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县卫生健康局牵头、各乡(镇)、县教育局、县直属机关工委、县科技工贸和信息化局、县市场监督管理局、县农业农村局、乡林业局、县文体广旅局、</w:t>
            </w:r>
          </w:p>
        </w:tc>
        <w:tc>
          <w:tcPr>
            <w:tcW w:w="1064" w:type="dxa"/>
            <w:vMerge w:val="restart"/>
            <w:tcBorders>
              <w:top w:val="single" w:sz="8" w:space="0" w:color="000000"/>
              <w:left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2021年10月29日前</w:t>
            </w:r>
          </w:p>
        </w:tc>
      </w:tr>
      <w:tr w:rsidR="00DD4BF7" w:rsidTr="00CE69B7">
        <w:trPr>
          <w:trHeight w:val="1580"/>
        </w:trPr>
        <w:tc>
          <w:tcPr>
            <w:tcW w:w="980" w:type="dxa"/>
            <w:vMerge/>
            <w:shd w:val="clear" w:color="auto" w:fill="auto"/>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tcBorders>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23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每单位专（兼）职人员承担健康促进与健康教育工作。培训覆盖率达100%</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w:t>
            </w:r>
            <w:r>
              <w:rPr>
                <w:rFonts w:ascii="Times New Roman" w:hAnsi="Times New Roman"/>
                <w:color w:val="000000"/>
                <w:kern w:val="0"/>
                <w:szCs w:val="21"/>
              </w:rPr>
              <w:t>2</w:t>
            </w:r>
            <w:r>
              <w:rPr>
                <w:rFonts w:ascii="宋体" w:hAnsi="宋体" w:cs="宋体" w:hint="eastAsia"/>
                <w:color w:val="000000"/>
                <w:kern w:val="0"/>
                <w:szCs w:val="21"/>
              </w:rPr>
              <w:t>）组织辖区内政府组成部门、乡镇、学校、机关、企业分别派出专兼职工作人员参加健康促进与教育为主要内容的培训，收集统计参加培训的单位总数，计算培训覆盖率（培训覆盖率=派出人员参加培训的单位数/辖区内各类单位总数×100%）。培训覆盖率达到</w:t>
            </w:r>
            <w:r>
              <w:rPr>
                <w:rFonts w:ascii="Times New Roman" w:hAnsi="Times New Roman"/>
                <w:color w:val="000000"/>
                <w:kern w:val="0"/>
                <w:szCs w:val="21"/>
              </w:rPr>
              <w:t>100%</w:t>
            </w:r>
            <w:r>
              <w:rPr>
                <w:rFonts w:ascii="宋体" w:hAnsi="宋体" w:cs="宋体" w:hint="eastAsia"/>
                <w:color w:val="000000"/>
                <w:kern w:val="0"/>
                <w:szCs w:val="21"/>
              </w:rPr>
              <w:t>得</w:t>
            </w:r>
            <w:r>
              <w:rPr>
                <w:rFonts w:ascii="Times New Roman" w:hAnsi="Times New Roman"/>
                <w:color w:val="000000"/>
                <w:kern w:val="0"/>
                <w:szCs w:val="21"/>
              </w:rPr>
              <w:t>5</w:t>
            </w:r>
            <w:r>
              <w:rPr>
                <w:rFonts w:ascii="宋体" w:hAnsi="宋体" w:cs="宋体" w:hint="eastAsia"/>
                <w:color w:val="000000"/>
                <w:kern w:val="0"/>
                <w:szCs w:val="21"/>
              </w:rPr>
              <w:t>分、达到</w:t>
            </w:r>
            <w:r>
              <w:rPr>
                <w:rFonts w:ascii="Times New Roman" w:hAnsi="Times New Roman"/>
                <w:color w:val="000000"/>
                <w:kern w:val="0"/>
                <w:szCs w:val="21"/>
              </w:rPr>
              <w:t>50%</w:t>
            </w:r>
            <w:r>
              <w:rPr>
                <w:rFonts w:ascii="宋体" w:hAnsi="宋体" w:cs="宋体" w:hint="eastAsia"/>
                <w:color w:val="000000"/>
                <w:kern w:val="0"/>
                <w:szCs w:val="21"/>
              </w:rPr>
              <w:t>得</w:t>
            </w:r>
            <w:r>
              <w:rPr>
                <w:rFonts w:ascii="Times New Roman" w:hAnsi="Times New Roman"/>
                <w:color w:val="000000"/>
                <w:kern w:val="0"/>
                <w:szCs w:val="21"/>
              </w:rPr>
              <w:t>3</w:t>
            </w:r>
            <w:r>
              <w:rPr>
                <w:rFonts w:ascii="宋体" w:hAnsi="宋体" w:cs="宋体" w:hint="eastAsia"/>
                <w:color w:val="000000"/>
                <w:kern w:val="0"/>
                <w:szCs w:val="21"/>
              </w:rPr>
              <w:t>分。</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对照上一指标提供的资料，通过检查培训通知、日程、签到表等档案资料，核实是否各单位均派出人员参加培训。</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Times New Roman" w:hAnsi="Times New Roman" w:hint="eastAsia"/>
                <w:color w:val="000000"/>
                <w:kern w:val="0"/>
                <w:szCs w:val="21"/>
              </w:rPr>
            </w:pPr>
            <w:r>
              <w:rPr>
                <w:rFonts w:ascii="Times New Roman" w:hAnsi="Times New Roman" w:hint="eastAsia"/>
                <w:color w:val="000000"/>
                <w:kern w:val="0"/>
                <w:szCs w:val="21"/>
              </w:rPr>
              <w:t>5</w:t>
            </w:r>
          </w:p>
        </w:tc>
        <w:tc>
          <w:tcPr>
            <w:tcW w:w="1665" w:type="dxa"/>
            <w:vMerge/>
            <w:tcBorders>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p>
        </w:tc>
        <w:tc>
          <w:tcPr>
            <w:tcW w:w="1064" w:type="dxa"/>
            <w:vMerge/>
            <w:tcBorders>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hint="eastAsia"/>
                <w:color w:val="000000"/>
                <w:kern w:val="0"/>
                <w:szCs w:val="21"/>
              </w:rPr>
            </w:pPr>
          </w:p>
        </w:tc>
      </w:tr>
      <w:tr w:rsidR="00DD4BF7" w:rsidTr="00CE69B7">
        <w:trPr>
          <w:trHeight w:val="1580"/>
        </w:trPr>
        <w:tc>
          <w:tcPr>
            <w:tcW w:w="980" w:type="dxa"/>
            <w:vMerge/>
            <w:shd w:val="clear" w:color="auto" w:fill="auto"/>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4.专业网络</w:t>
            </w:r>
          </w:p>
        </w:tc>
        <w:tc>
          <w:tcPr>
            <w:tcW w:w="23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建立以健康教育专业机构为核心、覆盖辖区内所有医院、公共卫生机构、社区卫生服务中心、乡镇卫生院的健康促进专业网络。</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收集统计辖区内医院、公共卫生机构、计划生育服务机构、基层医疗卫生机构等各类单位名称及总数、健康促进与教育工作专职人员姓名、联系方式等信息，计算网络覆盖率（网络覆盖率=设有专职人员的单位数/辖区内各类单位总数×100%）。专业网络覆盖率100%得10分、达50%得5分。。</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检查各单位及专职人员名单（信息表或构成图）等档案资料。</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90"/>
        </w:trPr>
        <w:tc>
          <w:tcPr>
            <w:tcW w:w="980" w:type="dxa"/>
            <w:vMerge/>
            <w:shd w:val="clear" w:color="auto" w:fill="auto"/>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23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每单位有专职人员承担健康促进与健康教育工作。培训覆盖率达100%。</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w:t>
            </w:r>
            <w:r>
              <w:rPr>
                <w:rFonts w:ascii="Times New Roman" w:hAnsi="Times New Roman"/>
                <w:color w:val="000000"/>
                <w:kern w:val="0"/>
                <w:szCs w:val="21"/>
              </w:rPr>
              <w:t>2</w:t>
            </w:r>
            <w:r>
              <w:rPr>
                <w:rFonts w:ascii="宋体" w:hAnsi="宋体" w:cs="宋体" w:hint="eastAsia"/>
                <w:color w:val="000000"/>
                <w:kern w:val="0"/>
                <w:szCs w:val="21"/>
              </w:rPr>
              <w:t>）组织辖区内健康教育专业网络各相关单位分别派出专职人员参加健康促进与教育为主要内容的培训，收集统计参加培训的单位总数，计算培训覆盖率，培训覆盖率</w:t>
            </w:r>
            <w:r>
              <w:rPr>
                <w:rFonts w:ascii="Times New Roman" w:hAnsi="Times New Roman"/>
                <w:color w:val="000000"/>
                <w:kern w:val="0"/>
                <w:szCs w:val="21"/>
              </w:rPr>
              <w:t>100%</w:t>
            </w:r>
            <w:r>
              <w:rPr>
                <w:rFonts w:ascii="宋体" w:hAnsi="宋体" w:cs="宋体" w:hint="eastAsia"/>
                <w:color w:val="000000"/>
                <w:kern w:val="0"/>
                <w:szCs w:val="21"/>
              </w:rPr>
              <w:t>得</w:t>
            </w:r>
            <w:r>
              <w:rPr>
                <w:rFonts w:ascii="Times New Roman" w:hAnsi="Times New Roman"/>
                <w:color w:val="000000"/>
                <w:kern w:val="0"/>
                <w:szCs w:val="21"/>
              </w:rPr>
              <w:t>5</w:t>
            </w:r>
            <w:r>
              <w:rPr>
                <w:rFonts w:ascii="宋体" w:hAnsi="宋体" w:cs="宋体" w:hint="eastAsia"/>
                <w:color w:val="000000"/>
                <w:kern w:val="0"/>
                <w:szCs w:val="21"/>
              </w:rPr>
              <w:t>分、达</w:t>
            </w:r>
            <w:r>
              <w:rPr>
                <w:rFonts w:ascii="Times New Roman" w:hAnsi="Times New Roman"/>
                <w:color w:val="000000"/>
                <w:kern w:val="0"/>
                <w:szCs w:val="21"/>
              </w:rPr>
              <w:t>50%</w:t>
            </w:r>
            <w:r>
              <w:rPr>
                <w:rFonts w:ascii="宋体" w:hAnsi="宋体" w:cs="宋体" w:hint="eastAsia"/>
                <w:color w:val="000000"/>
                <w:kern w:val="0"/>
                <w:szCs w:val="21"/>
              </w:rPr>
              <w:t>得</w:t>
            </w:r>
            <w:r>
              <w:rPr>
                <w:rFonts w:ascii="Times New Roman" w:hAnsi="Times New Roman"/>
                <w:color w:val="000000"/>
                <w:kern w:val="0"/>
                <w:szCs w:val="21"/>
              </w:rPr>
              <w:t>3</w:t>
            </w:r>
            <w:r>
              <w:rPr>
                <w:rFonts w:ascii="宋体" w:hAnsi="宋体" w:cs="宋体" w:hint="eastAsia"/>
                <w:color w:val="000000"/>
                <w:kern w:val="0"/>
                <w:szCs w:val="21"/>
              </w:rPr>
              <w:t>分。（培训覆盖率=派出人员参加培训的单位数/辖区内各类单位总数×100%）</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对照上一指标提供的资料，通过检查培训通知、日程、签到表等资料，核实是否各单位均派出人员参加培训。</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16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90"/>
        </w:trPr>
        <w:tc>
          <w:tcPr>
            <w:tcW w:w="980" w:type="dxa"/>
            <w:vMerge w:val="restart"/>
            <w:shd w:val="clear" w:color="auto" w:fill="auto"/>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一、组织管理（150分）</w:t>
            </w: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一、组织管理（150分）</w:t>
            </w:r>
          </w:p>
        </w:tc>
        <w:tc>
          <w:tcPr>
            <w:tcW w:w="980" w:type="dxa"/>
            <w:vMerge w:val="restart"/>
            <w:tcBorders>
              <w:top w:val="single" w:sz="8" w:space="0" w:color="000000"/>
              <w:left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5.项目管理</w:t>
            </w: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tc>
        <w:tc>
          <w:tcPr>
            <w:tcW w:w="23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lastRenderedPageBreak/>
              <w:t>开展基线调查，具备数据分析能力，了解当地的主要健康问题，制定科学的干预策略和措施。</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（1）开展基线调查（或社区诊断），得10分。</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检查开展基线调查的文件通知、方案、相片等资料。</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县卫生健康局、各乡(镇)</w:t>
            </w:r>
          </w:p>
        </w:tc>
        <w:tc>
          <w:tcPr>
            <w:tcW w:w="106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2993"/>
        </w:trPr>
        <w:tc>
          <w:tcPr>
            <w:tcW w:w="980" w:type="dxa"/>
            <w:vMerge/>
            <w:shd w:val="clear" w:color="auto" w:fill="auto"/>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tcBorders>
              <w:left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开展基线调查，具备数据分析能力，了解当地的主要健康问题，制定科学的干预策略和措施。</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完成基线调查报告（或社区诊断报告），基线调查报告主要包括调查目的、方法、结果、结果分析和工作建议等基本要素，内容包括通过调查发现的当地主要健康问题、优先干预领域、现有服务资源和需求、相应的干预措施等。</w:t>
            </w:r>
            <w:r>
              <w:rPr>
                <w:rFonts w:ascii="宋体" w:hAnsi="宋体" w:cs="宋体" w:hint="eastAsia"/>
                <w:color w:val="000000"/>
                <w:kern w:val="0"/>
                <w:szCs w:val="21"/>
              </w:rPr>
              <w:br/>
            </w:r>
            <w:r>
              <w:rPr>
                <w:rFonts w:ascii="宋体" w:hAnsi="宋体" w:cs="宋体" w:hint="eastAsia"/>
                <w:color w:val="000000"/>
                <w:spacing w:val="-6"/>
                <w:kern w:val="0"/>
                <w:szCs w:val="21"/>
              </w:rPr>
              <w:t>基线报告基本要素完整，内容全面，且报告能够充分分析当地主要健康问题，优先干预领域清晰，健康促进资源分析合理，提出的干预策略和措施明确、可操作性强的得10分；基线报告基本要素完整，内容全面，但在分析主要健康问题、提出干预策略和措施等方面有所欠缺的得8分；完成基线调查报告，但基本要素不完整，内容不全面的得6分。</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查阅基线调查报告。</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tcBorders>
              <w:top w:val="single" w:sz="8" w:space="0" w:color="000000"/>
              <w:left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县卫生健康局、各乡(镇)</w:t>
            </w:r>
          </w:p>
        </w:tc>
        <w:tc>
          <w:tcPr>
            <w:tcW w:w="1064" w:type="dxa"/>
            <w:vMerge w:val="restart"/>
            <w:tcBorders>
              <w:top w:val="single" w:sz="8" w:space="0" w:color="000000"/>
              <w:left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388"/>
        </w:trPr>
        <w:tc>
          <w:tcPr>
            <w:tcW w:w="980" w:type="dxa"/>
            <w:vMerge/>
            <w:shd w:val="clear" w:color="auto" w:fill="auto"/>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tcBorders>
              <w:left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建立督导检查、考核评估的工作机制，定期了解各项工作进展，听取政府各部门和居民的工作建议。</w:t>
            </w:r>
          </w:p>
        </w:tc>
        <w:tc>
          <w:tcPr>
            <w:tcW w:w="480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以政府（办）、创建办等名义组织开展政府牵头、多部门（2个以上）的联合督导和技术指导，提出有针对性的工作建议。符合上述条件的，每开展1次得5分，累计最高不超过20分。</w:t>
            </w:r>
          </w:p>
        </w:tc>
        <w:tc>
          <w:tcPr>
            <w:tcW w:w="19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检查督导调研通知、督导调研结果通报、记录表等资料。</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20</w:t>
            </w:r>
          </w:p>
        </w:tc>
        <w:tc>
          <w:tcPr>
            <w:tcW w:w="1665" w:type="dxa"/>
            <w:vMerge/>
            <w:tcBorders>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p>
        </w:tc>
        <w:tc>
          <w:tcPr>
            <w:tcW w:w="1064" w:type="dxa"/>
            <w:vMerge/>
            <w:tcBorders>
              <w:left w:val="single" w:sz="8" w:space="0" w:color="000000"/>
              <w:bottom w:val="single" w:sz="8" w:space="0" w:color="000000"/>
              <w:right w:val="single" w:sz="8" w:space="0" w:color="000000"/>
            </w:tcBorders>
            <w:shd w:val="clear" w:color="auto" w:fill="FFFFFF"/>
            <w:vAlign w:val="center"/>
          </w:tcPr>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132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tcBorders>
              <w:left w:val="single" w:sz="8" w:space="0" w:color="000000"/>
              <w:right w:val="single" w:sz="8" w:space="0" w:color="000000"/>
            </w:tcBorders>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定期监测项目组织实施情况，开展项目技术评估。</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（1）完成健康促进县评估人群健康调查，评估当年至少完成450人份的社区居民健康素养调查，且有评估报告得10分，否则不得分。市级、自治区级评估须开展复核，如复核不合格则该项不得分。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检查开展评估的通知、方案、评估报告等资料。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县卫生健康局、各乡(镇)</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802"/>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定期监测项目组织实施情况，开展项目技术评估。</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（2）组织开展健康社区、家庭、健康促进医院、学校、机关、企业等评估，6类场所均开展评估且评估资料齐全得10分，每有一类场所没有开展评估扣2分，扣完为止。</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检查开展各类场所评估的通知、评估表、评估报告（评估结果通报或命名文件）等资料。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县卫生健康局、各乡(镇)</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682"/>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6.经费保障</w:t>
            </w:r>
          </w:p>
        </w:tc>
        <w:tc>
          <w:tcPr>
            <w:tcW w:w="2300"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将健康促进县工作纳入当地政府预算，并根据经济发展和财政增长情况逐年增加。</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（1）健康促进县工作在当地财政立项或设立配套专项经费得10分。</w:t>
            </w:r>
          </w:p>
        </w:tc>
        <w:tc>
          <w:tcPr>
            <w:tcW w:w="1995"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检查相关档案资料，如县区财政部门下达的年度预算文件、立项批复文件、相关财务凭证等。</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县财政局</w:t>
            </w:r>
          </w:p>
        </w:tc>
        <w:tc>
          <w:tcPr>
            <w:tcW w:w="1064" w:type="dxa"/>
            <w:vMerge w:val="restart"/>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528"/>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spacing w:val="-8"/>
                <w:kern w:val="0"/>
                <w:szCs w:val="21"/>
              </w:rPr>
            </w:pPr>
            <w:r>
              <w:rPr>
                <w:rFonts w:ascii="宋体" w:hAnsi="宋体" w:cs="宋体" w:hint="eastAsia"/>
                <w:color w:val="000000"/>
                <w:spacing w:val="-8"/>
                <w:kern w:val="0"/>
                <w:szCs w:val="21"/>
              </w:rPr>
              <w:t>（2）当地财政立项或设立配套的专项经费&lt;30万得5分，≥30万得10分。（上级部门拨付的经费即使编入当地财政年度预算也不能得分。专项经费指该经费支出用途主要是用于与健康促进县区建设紧密相关的工作。）</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1363"/>
        </w:trPr>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二、健康政策（160分）</w:t>
            </w: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numPr>
                <w:ilvl w:val="0"/>
                <w:numId w:val="1"/>
              </w:numPr>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健康政策（160分）</w:t>
            </w: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tc>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1.宣传普及</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向各级党政领导和部门负责人宣讲“将健康融入所有政策”的概念和意义。</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举办“将健康融入所有政策”策略专题讲座或培训班，得10分。如是综合的活动或培训班，“将健康融入所有政策”策略作为独立的授课内容且至少安排有1个课时才能视为专题讲座。</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检查培训通知、日程、签到表、相片等档案资料。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县卫生健康局牵头、各乡(镇)、各部门</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21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向各级党政领导和部门负责人宣讲“将健康融入所有政策”的概念和意义。</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县政府主要领导至少有副县长参加可得5分，各部门、各乡（镇）主要负责人参加讲座或培训班得5分，累计不超过10分。</w:t>
            </w:r>
          </w:p>
        </w:tc>
        <w:tc>
          <w:tcPr>
            <w:tcW w:w="1995" w:type="dxa"/>
            <w:vMerge w:val="restart"/>
            <w:vAlign w:val="center"/>
          </w:tcPr>
          <w:p w:rsidR="00DD4BF7" w:rsidRDefault="00DD4BF7" w:rsidP="00CE69B7">
            <w:pPr>
              <w:widowControl/>
              <w:spacing w:line="240" w:lineRule="exact"/>
              <w:jc w:val="left"/>
              <w:rPr>
                <w:rFonts w:ascii="宋体" w:hAnsi="宋体" w:cs="宋体"/>
                <w:color w:val="000000"/>
                <w:spacing w:val="-10"/>
                <w:kern w:val="0"/>
                <w:szCs w:val="21"/>
              </w:rPr>
            </w:pPr>
            <w:r>
              <w:rPr>
                <w:rFonts w:ascii="宋体" w:hAnsi="宋体" w:cs="宋体" w:hint="eastAsia"/>
                <w:color w:val="000000"/>
                <w:spacing w:val="-10"/>
                <w:kern w:val="0"/>
                <w:szCs w:val="21"/>
              </w:rPr>
              <w:t>检查培训通知、日程、签到表、相片等档案资料。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县卫生健康局牵头、各乡(镇)、各部门</w:t>
            </w:r>
          </w:p>
        </w:tc>
        <w:tc>
          <w:tcPr>
            <w:tcW w:w="1064" w:type="dxa"/>
            <w:vMerge w:val="restart"/>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702"/>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工作网络和专业网络人员参加，培训覆盖率100%得10分，达50%得5分。</w:t>
            </w:r>
          </w:p>
        </w:tc>
        <w:tc>
          <w:tcPr>
            <w:tcW w:w="1995"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697"/>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2.公共政策健康审查制度</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成立健康专家委员会。</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以政府（办）、创建办名义印发文件成立健康专家委员会，得15分。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检查文件资料。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1665" w:type="dxa"/>
            <w:vAlign w:val="center"/>
          </w:tcPr>
          <w:p w:rsidR="00DD4BF7" w:rsidRDefault="00DD4BF7" w:rsidP="00CE69B7">
            <w:pPr>
              <w:widowControl/>
              <w:spacing w:line="240" w:lineRule="exact"/>
              <w:jc w:val="left"/>
              <w:rPr>
                <w:rFonts w:ascii="Times New Roman" w:hAnsi="Times New Roman" w:hint="eastAsia"/>
                <w:color w:val="000000"/>
                <w:kern w:val="0"/>
                <w:szCs w:val="21"/>
              </w:rPr>
            </w:pPr>
            <w:r>
              <w:rPr>
                <w:rFonts w:ascii="宋体" w:hAnsi="宋体" w:cs="宋体" w:hint="eastAsia"/>
                <w:color w:val="000000"/>
                <w:kern w:val="0"/>
                <w:szCs w:val="21"/>
              </w:rPr>
              <w:t>县卫生健康局牵头、各乡(镇)、各部门</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43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在新政策制订时增加健康审查程序，在提出、起草、修订、发布等政策制定环节中，征求健康专家委员会的意见。</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以政府（办）、创建办名义印发文件，建立公共政策审查制度得5分；相关部门在提出、起草、修订、发布等政策开发环节有专家委员会或健康领域行政人员和专家的参与，得10分。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检查相关文件、会议记录等档案资料。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1665"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县卫生健康局牵头、各乡(镇)、各部门</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68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3.政策制定</w:t>
            </w:r>
          </w:p>
          <w:p w:rsidR="00DD4BF7" w:rsidRDefault="00DD4BF7" w:rsidP="00CE69B7">
            <w:pPr>
              <w:widowControl/>
              <w:spacing w:line="240" w:lineRule="exact"/>
              <w:jc w:val="center"/>
              <w:rPr>
                <w:rFonts w:ascii="宋体" w:hAnsi="宋体" w:cs="宋体"/>
                <w:color w:val="000000"/>
                <w:kern w:val="0"/>
                <w:szCs w:val="21"/>
              </w:rPr>
            </w:pPr>
          </w:p>
        </w:tc>
        <w:tc>
          <w:tcPr>
            <w:tcW w:w="2300"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相关部门梳理本部门与健康相关的公共政策，补充、修订或新制定促进健康的公共政策。</w:t>
            </w: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政策梳理报告主要包括梳理目的、方法、过程、结果、下一步工作计划等基本要素。政府部门能够围绕本部门工作职责开展政策梳理，且报告基本要素完整的每个得3分，报告基本要素不完整的每个得2分，最高累计不超过2</w:t>
            </w:r>
            <w:r>
              <w:rPr>
                <w:rFonts w:ascii="Times New Roman" w:hAnsi="Times New Roman"/>
                <w:color w:val="000000"/>
                <w:kern w:val="0"/>
                <w:szCs w:val="21"/>
              </w:rPr>
              <w:t>0</w:t>
            </w:r>
            <w:r>
              <w:rPr>
                <w:rFonts w:ascii="宋体" w:hAnsi="宋体" w:cs="宋体" w:hint="eastAsia"/>
                <w:color w:val="000000"/>
                <w:kern w:val="0"/>
                <w:szCs w:val="21"/>
              </w:rPr>
              <w:t>分。（报告应加盖单位公章，否则不能计分。）</w:t>
            </w:r>
          </w:p>
        </w:tc>
        <w:tc>
          <w:tcPr>
            <w:tcW w:w="1995" w:type="dxa"/>
            <w:vAlign w:val="center"/>
          </w:tcPr>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检查政府各部门政策梳理报告。</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20</w:t>
            </w:r>
          </w:p>
        </w:tc>
        <w:tc>
          <w:tcPr>
            <w:tcW w:w="1665" w:type="dxa"/>
            <w:vAlign w:val="center"/>
          </w:tcPr>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县卫生健康局牵头、各乡(镇)、各部门</w:t>
            </w:r>
          </w:p>
        </w:tc>
        <w:tc>
          <w:tcPr>
            <w:tcW w:w="1064" w:type="dxa"/>
            <w:vAlign w:val="center"/>
          </w:tcPr>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2021年10月29日前</w:t>
            </w:r>
          </w:p>
        </w:tc>
      </w:tr>
      <w:tr w:rsidR="00DD4BF7" w:rsidTr="00CE69B7">
        <w:trPr>
          <w:trHeight w:val="300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相关部门梳理本部门与健康相关的公共政策，补充、修订或新制定促进健康的公共政策。</w:t>
            </w: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政府和相关部门补充、修订与健康有关的公共政策，每制定1条政策得5分，累计不超过30分。</w:t>
            </w:r>
            <w:r>
              <w:rPr>
                <w:rFonts w:ascii="宋体" w:hAnsi="宋体" w:cs="宋体" w:hint="eastAsia"/>
                <w:color w:val="000000"/>
                <w:kern w:val="0"/>
                <w:szCs w:val="21"/>
              </w:rPr>
              <w:br/>
              <w:t>公共政策即以党委、政府、部门等名义制定的有利于公众、社会的相关文件，规定在一定的时期内（一般为三年及以上），应该达到的奋斗目标、遵循的行动原则、完成的明确任务、实行的工作方式、采取的一般步骤和具体措施等，如实施意见、规划等。年度的项目、工作、活动方案等短时期内实施的文件一般不能视为公共政策。健康有关的公共政策须主要内容均与人群健康、改善环境等有关，仅部分篇章有相关内容不能得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检查文件资料。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30</w:t>
            </w:r>
          </w:p>
        </w:tc>
        <w:tc>
          <w:tcPr>
            <w:tcW w:w="166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县卫生健康局牵头、各乡(镇)、各部门</w:t>
            </w:r>
          </w:p>
        </w:tc>
        <w:tc>
          <w:tcPr>
            <w:tcW w:w="1064"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2021年10月29日前</w:t>
            </w:r>
          </w:p>
        </w:tc>
      </w:tr>
      <w:tr w:rsidR="00DD4BF7" w:rsidTr="00CE69B7">
        <w:trPr>
          <w:trHeight w:val="1567"/>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4.跨部门行动</w:t>
            </w:r>
          </w:p>
        </w:tc>
        <w:tc>
          <w:tcPr>
            <w:tcW w:w="2300"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针对当地需要优先应对的健康问题，开展跨部门健康行动。在多部门协作、资源统筹、社会动员、健康管理、健康产业等方面取得创新。</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政府或多部门联合开展针对重点健康问题和重点人群的健康行动，有行动方案、行动总结等相关资料完整的每个行动得5分，累计不超过30分。与健康有关公共政策不重复计分。</w:t>
            </w:r>
          </w:p>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爱卫月、艾滋病日等一次过的卫生日活动不能单独作为跨部门健康行动。</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检查相关文件、过程佐证资料等。</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30</w:t>
            </w:r>
          </w:p>
        </w:tc>
        <w:tc>
          <w:tcPr>
            <w:tcW w:w="1665"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县卫生健康局牵头、各乡(镇)、各部门</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527"/>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每类创新得5分，累计不超过20分。实施的行动属于上级部门没有部署，或具体方式、措施等在上级部门文件部署中没有明确，是本辖区结合实际自行策划组织实施且是首次开展的行动即可视为创新。</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检查行动总结（典型案例材料）、实施文件、方案等档案资料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20</w:t>
            </w:r>
          </w:p>
        </w:tc>
        <w:tc>
          <w:tcPr>
            <w:tcW w:w="1665"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县卫生健康局牵头、各乡(镇)、各部门</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2750"/>
        </w:trPr>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三、健康场所（250分）</w:t>
            </w: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三、健康场所（250分）</w:t>
            </w: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numPr>
                <w:ilvl w:val="0"/>
                <w:numId w:val="2"/>
              </w:numPr>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健康场所（250分）</w:t>
            </w: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三、健康场所（250分）</w:t>
            </w:r>
          </w:p>
        </w:tc>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1.健康社区（村）</w:t>
            </w:r>
          </w:p>
        </w:tc>
        <w:tc>
          <w:tcPr>
            <w:tcW w:w="2300"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建立健康社区（村）工作机制，建设20%健康社区和健康村。</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有区域健康社区（村）建设工作计划（方案），且工作计划（方案）中目标、建设内容、措施等基本要素完整的得5分，如基本要素不完整、操作性不强的酌情扣分；</w:t>
            </w:r>
          </w:p>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有区域健康社区（村）督导、评估报告，且报告中督导（评估）对象、方式、存在问题、结果等基本要素完整得3分，如基本要素不完整酌情扣分；</w:t>
            </w:r>
          </w:p>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有区域健康社区（村）工作总结，且工作总结有主要开展的工作、取得成效和亮点、存在问题、下一步工作计划等基本要素完整得2分，如基本要素不完整酌情扣分。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检查相关档案资料。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各乡(镇)、县创健办</w:t>
            </w:r>
          </w:p>
        </w:tc>
        <w:tc>
          <w:tcPr>
            <w:tcW w:w="1064"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2021年10月29日前</w:t>
            </w:r>
          </w:p>
        </w:tc>
      </w:tr>
      <w:tr w:rsidR="00DD4BF7" w:rsidTr="00CE69B7">
        <w:trPr>
          <w:trHeight w:val="1169"/>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 xml:space="preserve">整理健康社区/村建设典型案例，案例数量达到6个及以上得5分，每少1个扣1分，扣完为止。典型案例主要体现本社区（村）的工作思路、取得成效（有数据支撑最佳）、成功经验、亮点、创新做法等。 </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检查典型案例材料（工作总结）等。</w:t>
            </w:r>
          </w:p>
        </w:tc>
        <w:tc>
          <w:tcPr>
            <w:tcW w:w="795" w:type="dxa"/>
            <w:vAlign w:val="center"/>
          </w:tcPr>
          <w:p w:rsidR="00DD4BF7" w:rsidRDefault="00DD4BF7" w:rsidP="00CE69B7">
            <w:pPr>
              <w:widowControl/>
              <w:spacing w:line="240" w:lineRule="exact"/>
              <w:jc w:val="center"/>
              <w:rPr>
                <w:rFonts w:ascii="Times New Roman" w:hAnsi="Times New Roman" w:hint="eastAsia"/>
                <w:color w:val="000000"/>
                <w:kern w:val="0"/>
                <w:szCs w:val="21"/>
              </w:rPr>
            </w:pPr>
            <w:r>
              <w:rPr>
                <w:rFonts w:ascii="Times New Roman" w:hAnsi="Times New Roman" w:hint="eastAsia"/>
                <w:color w:val="000000"/>
                <w:kern w:val="0"/>
                <w:szCs w:val="21"/>
              </w:rPr>
              <w:t>5</w:t>
            </w:r>
          </w:p>
        </w:tc>
        <w:tc>
          <w:tcPr>
            <w:tcW w:w="1665"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各乡(镇)、县创健办</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90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通过县级及以上评估的健康社区（村）覆盖率达20%得10分，覆盖率达10%得5分。健康社区（村）覆盖率=达到标准的健康社区（村）数/社区（村）总数×100%）</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检查评估表、结果通报或命名文件等资料。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各乡(镇)、县创健办</w:t>
            </w:r>
          </w:p>
        </w:tc>
        <w:tc>
          <w:tcPr>
            <w:tcW w:w="1064"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687"/>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ign w:val="center"/>
          </w:tcPr>
          <w:p w:rsidR="00DD4BF7" w:rsidRDefault="00DD4BF7" w:rsidP="00CE69B7">
            <w:pPr>
              <w:widowControl/>
              <w:spacing w:line="240" w:lineRule="exact"/>
              <w:jc w:val="left"/>
              <w:rPr>
                <w:rFonts w:ascii="宋体" w:hAnsi="宋体" w:cs="宋体" w:hint="eastAsia"/>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在县提供的达标社区（村）名单中，随机抽取</w:t>
            </w:r>
            <w:r>
              <w:rPr>
                <w:rFonts w:ascii="Times New Roman" w:hAnsi="Times New Roman"/>
                <w:color w:val="000000"/>
                <w:kern w:val="0"/>
                <w:szCs w:val="21"/>
              </w:rPr>
              <w:t>1</w:t>
            </w:r>
            <w:r>
              <w:rPr>
                <w:rFonts w:ascii="宋体" w:hAnsi="宋体" w:cs="宋体" w:hint="eastAsia"/>
                <w:color w:val="000000"/>
                <w:kern w:val="0"/>
                <w:szCs w:val="21"/>
              </w:rPr>
              <w:t>个社区（村）开展现场考核，记录现场考核得分，满分</w:t>
            </w:r>
            <w:r>
              <w:rPr>
                <w:rFonts w:ascii="Times New Roman" w:hAnsi="Times New Roman"/>
                <w:color w:val="000000"/>
                <w:kern w:val="0"/>
                <w:szCs w:val="21"/>
              </w:rPr>
              <w:t>15</w:t>
            </w:r>
            <w:r>
              <w:rPr>
                <w:rFonts w:ascii="宋体" w:hAnsi="宋体" w:cs="宋体" w:hint="eastAsia"/>
                <w:color w:val="000000"/>
                <w:kern w:val="0"/>
                <w:szCs w:val="21"/>
              </w:rPr>
              <w:t>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现场考核。</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1665"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844"/>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2.健康家庭</w:t>
            </w:r>
          </w:p>
        </w:tc>
        <w:tc>
          <w:tcPr>
            <w:tcW w:w="2300"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color w:val="000000"/>
                <w:kern w:val="0"/>
                <w:szCs w:val="21"/>
              </w:rPr>
            </w:pPr>
            <w:r>
              <w:rPr>
                <w:rFonts w:ascii="宋体" w:hAnsi="宋体" w:cs="宋体" w:hint="eastAsia"/>
                <w:color w:val="000000"/>
                <w:kern w:val="0"/>
                <w:szCs w:val="21"/>
              </w:rPr>
              <w:t>建立健康家庭评选工作机制，建设20%健康家庭，评选一批示范健康家庭。</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有健康家庭建设工作计划（方案）得5分，有工作总结得5分，如计划（方案）、总结基本要素不完整的酌情扣分。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检查相关档案资料。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各乡(镇)、县创健办</w:t>
            </w:r>
          </w:p>
        </w:tc>
        <w:tc>
          <w:tcPr>
            <w:tcW w:w="1064"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61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通过县级及以上评估的示范健康家庭达100户的得5分，有50户得3分。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检查评估表、结果通报或命名文件等资料。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1665"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613"/>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整理健康家庭典型案例，案例数量达10个得5分，每少1个扣0.5分。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检查典型案例材料等。</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1665"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777"/>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3.健康促进医院</w:t>
            </w: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p>
        </w:tc>
        <w:tc>
          <w:tcPr>
            <w:tcW w:w="2300"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建立健康促进医院建设工作机制，建设40%健康促进医院（包括综合医院、专科医院、社区卫生服务中心、乡镇卫生院）。</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有区域健康促进医院、无烟卫生健康单位建设计划（方案）得</w:t>
            </w:r>
            <w:r>
              <w:rPr>
                <w:rFonts w:ascii="Times New Roman" w:hAnsi="Times New Roman"/>
                <w:color w:val="000000"/>
                <w:kern w:val="0"/>
                <w:szCs w:val="21"/>
              </w:rPr>
              <w:t>5</w:t>
            </w:r>
            <w:r>
              <w:rPr>
                <w:rFonts w:ascii="宋体" w:hAnsi="宋体" w:cs="宋体" w:hint="eastAsia"/>
                <w:color w:val="000000"/>
                <w:kern w:val="0"/>
                <w:szCs w:val="21"/>
              </w:rPr>
              <w:t>分，有督导报告和工作总结得</w:t>
            </w:r>
            <w:r>
              <w:rPr>
                <w:rFonts w:ascii="Times New Roman" w:hAnsi="Times New Roman"/>
                <w:color w:val="000000"/>
                <w:kern w:val="0"/>
                <w:szCs w:val="21"/>
              </w:rPr>
              <w:t>5</w:t>
            </w:r>
            <w:r>
              <w:rPr>
                <w:rFonts w:ascii="宋体" w:hAnsi="宋体" w:cs="宋体" w:hint="eastAsia"/>
                <w:color w:val="000000"/>
                <w:kern w:val="0"/>
                <w:szCs w:val="21"/>
              </w:rPr>
              <w:t>分，如计划（方案）、总结基本要素不完整的酌情扣分。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检查相关档案资料。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w:t>
            </w:r>
          </w:p>
        </w:tc>
        <w:tc>
          <w:tcPr>
            <w:tcW w:w="1064" w:type="dxa"/>
            <w:vMerge w:val="restart"/>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98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有40%通过县级及以上评估的健康促进医院名单得10分，有 30%通过县级及以上评估的健康促进医院名单得5分。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检查评估表、结果通报或命名文件等资料。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582"/>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整理健康促进医院典型案例，案例数量达3个得5分，每少1个扣2分，扣完为止。</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检查典型案例材料等。</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847"/>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在政府提供的达标医疗卫生机构名单中，随机抽取1个医疗卫生机构开展现场考核，记录现场考核得分，最高15分。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现场考核</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102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r>
              <w:rPr>
                <w:rFonts w:ascii="宋体" w:hAnsi="宋体" w:cs="宋体" w:hint="eastAsia"/>
                <w:color w:val="000000"/>
                <w:kern w:val="0"/>
                <w:szCs w:val="21"/>
              </w:rPr>
              <w:t>4.健康促进学校</w:t>
            </w:r>
          </w:p>
          <w:p w:rsidR="00DD4BF7" w:rsidRDefault="00DD4BF7" w:rsidP="00CE69B7">
            <w:pPr>
              <w:widowControl/>
              <w:spacing w:line="240" w:lineRule="exact"/>
              <w:jc w:val="center"/>
              <w:rPr>
                <w:rFonts w:ascii="宋体" w:hAnsi="宋体" w:cs="宋体"/>
                <w:color w:val="000000"/>
                <w:kern w:val="0"/>
                <w:szCs w:val="21"/>
              </w:rPr>
            </w:pPr>
          </w:p>
        </w:tc>
        <w:tc>
          <w:tcPr>
            <w:tcW w:w="2300"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建立健康促进学校工作机制，建设一定比例的健康促进学校。</w:t>
            </w: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spacing w:val="-6"/>
                <w:kern w:val="0"/>
                <w:szCs w:val="21"/>
              </w:rPr>
              <w:t>有区域健康促进学校建设计划（方案）得</w:t>
            </w:r>
            <w:r>
              <w:rPr>
                <w:rFonts w:ascii="Times New Roman" w:hAnsi="Times New Roman"/>
                <w:color w:val="000000"/>
                <w:spacing w:val="-6"/>
                <w:kern w:val="0"/>
                <w:szCs w:val="21"/>
              </w:rPr>
              <w:t>5</w:t>
            </w:r>
            <w:r>
              <w:rPr>
                <w:rFonts w:ascii="宋体" w:hAnsi="宋体" w:cs="宋体" w:hint="eastAsia"/>
                <w:color w:val="000000"/>
                <w:spacing w:val="-6"/>
                <w:kern w:val="0"/>
                <w:szCs w:val="21"/>
              </w:rPr>
              <w:t>分，有督导报告和工作总结得</w:t>
            </w:r>
            <w:r>
              <w:rPr>
                <w:rFonts w:ascii="Times New Roman" w:hAnsi="Times New Roman"/>
                <w:color w:val="000000"/>
                <w:spacing w:val="-6"/>
                <w:kern w:val="0"/>
                <w:szCs w:val="21"/>
              </w:rPr>
              <w:t>5</w:t>
            </w:r>
            <w:r>
              <w:rPr>
                <w:rFonts w:ascii="宋体" w:hAnsi="宋体" w:cs="宋体" w:hint="eastAsia"/>
                <w:color w:val="000000"/>
                <w:spacing w:val="-6"/>
                <w:kern w:val="0"/>
                <w:szCs w:val="21"/>
              </w:rPr>
              <w:t>分，如计划（方案）、总结基本要素不完整的酌情扣分。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检查相关档案资料。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Times New Roman" w:hAnsi="Times New Roman"/>
                <w:color w:val="000000"/>
                <w:kern w:val="0"/>
                <w:szCs w:val="21"/>
              </w:rPr>
            </w:pPr>
            <w:r>
              <w:rPr>
                <w:rFonts w:ascii="宋体" w:hAnsi="宋体" w:cs="宋体" w:hint="eastAsia"/>
                <w:color w:val="000000"/>
                <w:kern w:val="0"/>
                <w:szCs w:val="21"/>
              </w:rPr>
              <w:t>县教育局</w:t>
            </w:r>
          </w:p>
        </w:tc>
        <w:tc>
          <w:tcPr>
            <w:tcW w:w="1064"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02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有50%通过县级及以上评估的健康促进学校名单得10分，有30%通过县级及以上评估的健康促进学校名单的得5分。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检查评估表、结果通报或命名文件等资料。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102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整理健康促进学校案例，案例数量达3个得5分，每少1个扣2分，扣完为止。</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检查典型案例材料等。</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90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在政府提供的达标健康促进学校名单中，随机抽取1个学校开展现场考核，记录现场考核得分，最高15分。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现场考核</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960"/>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r>
              <w:rPr>
                <w:rFonts w:ascii="宋体" w:hAnsi="宋体" w:cs="宋体" w:hint="eastAsia"/>
                <w:color w:val="000000"/>
                <w:kern w:val="0"/>
                <w:szCs w:val="21"/>
              </w:rPr>
              <w:t>5.健康促进机关</w:t>
            </w:r>
          </w:p>
          <w:p w:rsidR="00DD4BF7" w:rsidRDefault="00DD4BF7" w:rsidP="00CE69B7">
            <w:pPr>
              <w:widowControl/>
              <w:spacing w:line="240" w:lineRule="exact"/>
              <w:jc w:val="center"/>
              <w:rPr>
                <w:rFonts w:ascii="宋体" w:hAnsi="宋体" w:cs="宋体"/>
                <w:color w:val="000000"/>
                <w:kern w:val="0"/>
                <w:szCs w:val="21"/>
              </w:rPr>
            </w:pPr>
          </w:p>
        </w:tc>
        <w:tc>
          <w:tcPr>
            <w:tcW w:w="2300"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建立健康促进机关工作机制，建设一定比例的健康促进机关。</w:t>
            </w: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spacing w:val="-6"/>
                <w:kern w:val="0"/>
                <w:szCs w:val="21"/>
              </w:rPr>
              <w:t>有区域健康促进机关建设计划（方案）得</w:t>
            </w:r>
            <w:r>
              <w:rPr>
                <w:rFonts w:ascii="Times New Roman" w:hAnsi="Times New Roman"/>
                <w:spacing w:val="-6"/>
                <w:kern w:val="0"/>
                <w:szCs w:val="21"/>
              </w:rPr>
              <w:t>5</w:t>
            </w:r>
            <w:r>
              <w:rPr>
                <w:rFonts w:ascii="宋体" w:hAnsi="宋体" w:cs="宋体" w:hint="eastAsia"/>
                <w:spacing w:val="-6"/>
                <w:kern w:val="0"/>
                <w:szCs w:val="21"/>
              </w:rPr>
              <w:t>分，有督导报告和工作总结得</w:t>
            </w:r>
            <w:r>
              <w:rPr>
                <w:rFonts w:ascii="Times New Roman" w:hAnsi="Times New Roman"/>
                <w:spacing w:val="-6"/>
                <w:kern w:val="0"/>
                <w:szCs w:val="21"/>
              </w:rPr>
              <w:t>5</w:t>
            </w:r>
            <w:r>
              <w:rPr>
                <w:rFonts w:ascii="宋体" w:hAnsi="宋体" w:cs="宋体" w:hint="eastAsia"/>
                <w:spacing w:val="-6"/>
                <w:kern w:val="0"/>
                <w:szCs w:val="21"/>
              </w:rPr>
              <w:t>分，如计划（方案）、总结基本要素不完整的酌情扣分。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kern w:val="0"/>
                <w:szCs w:val="21"/>
              </w:rPr>
              <w:t>检查相关档案资料。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kern w:val="0"/>
                <w:szCs w:val="21"/>
              </w:rPr>
              <w:t>10</w:t>
            </w:r>
          </w:p>
        </w:tc>
        <w:tc>
          <w:tcPr>
            <w:tcW w:w="1665"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r>
              <w:rPr>
                <w:rFonts w:ascii="宋体" w:hAnsi="宋体" w:cs="宋体" w:hint="eastAsia"/>
                <w:color w:val="000000"/>
                <w:kern w:val="0"/>
                <w:szCs w:val="21"/>
              </w:rPr>
              <w:t>县直属机关工委牵头、总工会</w:t>
            </w:r>
          </w:p>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2021年10月29日前</w:t>
            </w:r>
          </w:p>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870"/>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kern w:val="0"/>
                <w:szCs w:val="21"/>
              </w:rPr>
              <w:t>有50%通过县级及以上评估的健康促进机关名单的得10分，有30%通过县级及以上评估的健康促进机关名单的得5分。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kern w:val="0"/>
                <w:szCs w:val="21"/>
              </w:rPr>
              <w:t>检查评估表、结果通报或命名文件等资料。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kern w:val="0"/>
                <w:szCs w:val="21"/>
              </w:rPr>
              <w:t>10</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870"/>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kern w:val="0"/>
                <w:szCs w:val="21"/>
              </w:rPr>
              <w:t>整理健康促进机关案例，案例数量达3个得5分，每少1个扣2分，扣完为止。</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kern w:val="0"/>
                <w:szCs w:val="21"/>
              </w:rPr>
              <w:t>检查典型案例材料等。</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kern w:val="0"/>
                <w:szCs w:val="21"/>
              </w:rPr>
              <w:t>5</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1035"/>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kern w:val="0"/>
                <w:szCs w:val="21"/>
              </w:rPr>
              <w:t>在政府提供的达标健康促进机关名单中，随机抽取1个机关开展现场考核，记录现场考核得分，最高15分。</w:t>
            </w:r>
          </w:p>
        </w:tc>
        <w:tc>
          <w:tcPr>
            <w:tcW w:w="199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kern w:val="0"/>
                <w:szCs w:val="21"/>
              </w:rPr>
              <w:t>现场考核</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kern w:val="0"/>
                <w:szCs w:val="21"/>
              </w:rPr>
              <w:t>15</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left"/>
              <w:rPr>
                <w:rFonts w:ascii="Times New Roman" w:hAnsi="Times New Roman"/>
                <w:color w:val="000000"/>
                <w:kern w:val="0"/>
                <w:szCs w:val="21"/>
              </w:rPr>
            </w:pPr>
          </w:p>
        </w:tc>
      </w:tr>
      <w:tr w:rsidR="00DD4BF7" w:rsidTr="00CE69B7">
        <w:trPr>
          <w:trHeight w:val="1028"/>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6.健康促进企业</w:t>
            </w:r>
          </w:p>
        </w:tc>
        <w:tc>
          <w:tcPr>
            <w:tcW w:w="2300"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建立健康促进企业工作机制，建设一定比例的健康促进企业。</w:t>
            </w:r>
          </w:p>
        </w:tc>
        <w:tc>
          <w:tcPr>
            <w:tcW w:w="4803" w:type="dxa"/>
            <w:vAlign w:val="center"/>
          </w:tcPr>
          <w:p w:rsidR="00DD4BF7" w:rsidRDefault="00DD4BF7" w:rsidP="00CE69B7">
            <w:pPr>
              <w:widowControl/>
              <w:spacing w:line="240" w:lineRule="exact"/>
              <w:jc w:val="left"/>
              <w:rPr>
                <w:rFonts w:ascii="宋体" w:hAnsi="宋体" w:cs="宋体" w:hint="eastAsia"/>
                <w:kern w:val="0"/>
                <w:szCs w:val="21"/>
              </w:rPr>
            </w:pPr>
            <w:r>
              <w:rPr>
                <w:rFonts w:ascii="宋体" w:hAnsi="宋体" w:cs="宋体" w:hint="eastAsia"/>
                <w:spacing w:val="-6"/>
                <w:kern w:val="0"/>
                <w:szCs w:val="21"/>
              </w:rPr>
              <w:t>有区域健康促进企业建设计划（方案）得</w:t>
            </w:r>
            <w:r>
              <w:rPr>
                <w:rFonts w:ascii="Times New Roman" w:hAnsi="Times New Roman"/>
                <w:spacing w:val="-6"/>
                <w:kern w:val="0"/>
                <w:szCs w:val="21"/>
              </w:rPr>
              <w:t>5</w:t>
            </w:r>
            <w:r>
              <w:rPr>
                <w:rFonts w:ascii="宋体" w:hAnsi="宋体" w:cs="宋体" w:hint="eastAsia"/>
                <w:spacing w:val="-6"/>
                <w:kern w:val="0"/>
                <w:szCs w:val="21"/>
              </w:rPr>
              <w:t>分，有督导报告和工作总结得</w:t>
            </w:r>
            <w:r>
              <w:rPr>
                <w:rFonts w:ascii="Times New Roman" w:hAnsi="Times New Roman"/>
                <w:spacing w:val="-6"/>
                <w:kern w:val="0"/>
                <w:szCs w:val="21"/>
              </w:rPr>
              <w:t>5</w:t>
            </w:r>
            <w:r>
              <w:rPr>
                <w:rFonts w:ascii="宋体" w:hAnsi="宋体" w:cs="宋体" w:hint="eastAsia"/>
                <w:spacing w:val="-6"/>
                <w:kern w:val="0"/>
                <w:szCs w:val="21"/>
              </w:rPr>
              <w:t>分，如计划（方案）、总结基本要素不完整的酌情扣分。</w:t>
            </w:r>
          </w:p>
        </w:tc>
        <w:tc>
          <w:tcPr>
            <w:tcW w:w="1995" w:type="dxa"/>
            <w:vAlign w:val="center"/>
          </w:tcPr>
          <w:p w:rsidR="00DD4BF7" w:rsidRDefault="00DD4BF7" w:rsidP="00CE69B7">
            <w:pPr>
              <w:widowControl/>
              <w:spacing w:line="240" w:lineRule="exact"/>
              <w:jc w:val="left"/>
              <w:rPr>
                <w:rFonts w:ascii="宋体" w:hAnsi="宋体" w:cs="宋体" w:hint="eastAsia"/>
                <w:kern w:val="0"/>
                <w:szCs w:val="21"/>
              </w:rPr>
            </w:pPr>
            <w:r>
              <w:rPr>
                <w:rFonts w:ascii="宋体" w:hAnsi="宋体" w:cs="宋体" w:hint="eastAsia"/>
                <w:kern w:val="0"/>
                <w:szCs w:val="21"/>
              </w:rPr>
              <w:t>检查相关档案资料。</w:t>
            </w:r>
          </w:p>
        </w:tc>
        <w:tc>
          <w:tcPr>
            <w:tcW w:w="795" w:type="dxa"/>
            <w:vAlign w:val="center"/>
          </w:tcPr>
          <w:p w:rsidR="00DD4BF7" w:rsidRDefault="00DD4BF7" w:rsidP="00CE69B7">
            <w:pPr>
              <w:widowControl/>
              <w:spacing w:line="240" w:lineRule="exact"/>
              <w:jc w:val="center"/>
              <w:rPr>
                <w:rFonts w:ascii="Times New Roman" w:hAnsi="Times New Roman"/>
                <w:kern w:val="0"/>
                <w:szCs w:val="21"/>
              </w:rPr>
            </w:pPr>
            <w:r>
              <w:rPr>
                <w:rFonts w:ascii="Times New Roman" w:hAnsi="Times New Roman"/>
                <w:kern w:val="0"/>
                <w:szCs w:val="21"/>
              </w:rPr>
              <w:t>10</w:t>
            </w:r>
          </w:p>
        </w:tc>
        <w:tc>
          <w:tcPr>
            <w:tcW w:w="1665"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r>
              <w:rPr>
                <w:rFonts w:ascii="宋体" w:hAnsi="宋体" w:cs="宋体" w:hint="eastAsia"/>
                <w:color w:val="000000"/>
                <w:kern w:val="0"/>
                <w:szCs w:val="21"/>
              </w:rPr>
              <w:t>县科技工贸和</w:t>
            </w:r>
          </w:p>
          <w:p w:rsidR="00DD4BF7" w:rsidRDefault="00DD4BF7" w:rsidP="00CE69B7">
            <w:pPr>
              <w:widowControl/>
              <w:spacing w:line="240" w:lineRule="exact"/>
              <w:rPr>
                <w:rFonts w:ascii="Times New Roman" w:hAnsi="Times New Roman"/>
                <w:kern w:val="0"/>
                <w:szCs w:val="21"/>
              </w:rPr>
            </w:pPr>
            <w:r>
              <w:rPr>
                <w:rFonts w:ascii="宋体" w:hAnsi="宋体" w:cs="宋体" w:hint="eastAsia"/>
                <w:color w:val="000000"/>
                <w:kern w:val="0"/>
                <w:szCs w:val="21"/>
              </w:rPr>
              <w:t>信息化局</w:t>
            </w:r>
          </w:p>
        </w:tc>
        <w:tc>
          <w:tcPr>
            <w:tcW w:w="1064"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176"/>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kern w:val="0"/>
                <w:szCs w:val="21"/>
              </w:rPr>
            </w:pPr>
            <w:r>
              <w:rPr>
                <w:rFonts w:ascii="宋体" w:hAnsi="宋体" w:cs="宋体" w:hint="eastAsia"/>
                <w:kern w:val="0"/>
                <w:szCs w:val="21"/>
              </w:rPr>
              <w:t>有20%通过县级及以上评估的健康促进企业名单的得10分，有5%通过县级及以上评估的健康促进企业名单的得5分。</w:t>
            </w:r>
          </w:p>
        </w:tc>
        <w:tc>
          <w:tcPr>
            <w:tcW w:w="1995" w:type="dxa"/>
            <w:vAlign w:val="center"/>
          </w:tcPr>
          <w:p w:rsidR="00DD4BF7" w:rsidRDefault="00DD4BF7" w:rsidP="00CE69B7">
            <w:pPr>
              <w:widowControl/>
              <w:spacing w:line="240" w:lineRule="exact"/>
              <w:jc w:val="left"/>
              <w:rPr>
                <w:rFonts w:ascii="宋体" w:hAnsi="宋体" w:cs="宋体" w:hint="eastAsia"/>
                <w:kern w:val="0"/>
                <w:szCs w:val="21"/>
              </w:rPr>
            </w:pPr>
            <w:r>
              <w:rPr>
                <w:rFonts w:ascii="宋体" w:hAnsi="宋体" w:cs="宋体" w:hint="eastAsia"/>
                <w:kern w:val="0"/>
                <w:szCs w:val="21"/>
              </w:rPr>
              <w:t>检查评估表、结果通报或命名文件等资料。</w:t>
            </w:r>
          </w:p>
        </w:tc>
        <w:tc>
          <w:tcPr>
            <w:tcW w:w="795" w:type="dxa"/>
            <w:vAlign w:val="center"/>
          </w:tcPr>
          <w:p w:rsidR="00DD4BF7" w:rsidRDefault="00DD4BF7" w:rsidP="00CE69B7">
            <w:pPr>
              <w:widowControl/>
              <w:spacing w:line="240" w:lineRule="exact"/>
              <w:jc w:val="center"/>
              <w:rPr>
                <w:rFonts w:ascii="Times New Roman" w:hAnsi="Times New Roman"/>
                <w:kern w:val="0"/>
                <w:szCs w:val="21"/>
              </w:rPr>
            </w:pPr>
            <w:r>
              <w:rPr>
                <w:rFonts w:ascii="Times New Roman" w:hAnsi="Times New Roman"/>
                <w:kern w:val="0"/>
                <w:szCs w:val="21"/>
              </w:rPr>
              <w:t>10</w:t>
            </w:r>
          </w:p>
        </w:tc>
        <w:tc>
          <w:tcPr>
            <w:tcW w:w="1665" w:type="dxa"/>
            <w:vMerge/>
            <w:vAlign w:val="center"/>
          </w:tcPr>
          <w:p w:rsidR="00DD4BF7" w:rsidRDefault="00DD4BF7" w:rsidP="00CE69B7">
            <w:pPr>
              <w:widowControl/>
              <w:spacing w:line="240" w:lineRule="exact"/>
              <w:jc w:val="center"/>
              <w:rPr>
                <w:rFonts w:ascii="Times New Roman" w:hAnsi="Times New Roman"/>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645"/>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hint="eastAsia"/>
                <w:kern w:val="0"/>
                <w:szCs w:val="21"/>
              </w:rPr>
            </w:pPr>
            <w:r>
              <w:rPr>
                <w:rFonts w:ascii="宋体" w:hAnsi="宋体" w:cs="宋体" w:hint="eastAsia"/>
                <w:kern w:val="0"/>
                <w:szCs w:val="21"/>
              </w:rPr>
              <w:t>整理健康促进企业案例，案例数量达1个的得5分。</w:t>
            </w:r>
          </w:p>
        </w:tc>
        <w:tc>
          <w:tcPr>
            <w:tcW w:w="1995" w:type="dxa"/>
            <w:vAlign w:val="center"/>
          </w:tcPr>
          <w:p w:rsidR="00DD4BF7" w:rsidRDefault="00DD4BF7" w:rsidP="00CE69B7">
            <w:pPr>
              <w:widowControl/>
              <w:spacing w:line="240" w:lineRule="exact"/>
              <w:jc w:val="left"/>
              <w:rPr>
                <w:rFonts w:ascii="宋体" w:hAnsi="宋体" w:cs="宋体" w:hint="eastAsia"/>
                <w:kern w:val="0"/>
                <w:szCs w:val="21"/>
              </w:rPr>
            </w:pPr>
            <w:r>
              <w:rPr>
                <w:rFonts w:ascii="宋体" w:hAnsi="宋体" w:cs="宋体" w:hint="eastAsia"/>
                <w:kern w:val="0"/>
                <w:szCs w:val="21"/>
              </w:rPr>
              <w:t>检查典型案例材料等。</w:t>
            </w:r>
          </w:p>
        </w:tc>
        <w:tc>
          <w:tcPr>
            <w:tcW w:w="795" w:type="dxa"/>
            <w:vAlign w:val="center"/>
          </w:tcPr>
          <w:p w:rsidR="00DD4BF7" w:rsidRDefault="00DD4BF7" w:rsidP="00CE69B7">
            <w:pPr>
              <w:widowControl/>
              <w:spacing w:line="240" w:lineRule="exact"/>
              <w:jc w:val="center"/>
              <w:rPr>
                <w:rFonts w:ascii="Times New Roman" w:hAnsi="Times New Roman"/>
                <w:kern w:val="0"/>
                <w:szCs w:val="21"/>
              </w:rPr>
            </w:pPr>
            <w:r>
              <w:rPr>
                <w:rFonts w:ascii="Times New Roman" w:hAnsi="Times New Roman"/>
                <w:kern w:val="0"/>
                <w:szCs w:val="21"/>
              </w:rPr>
              <w:t>5</w:t>
            </w:r>
          </w:p>
        </w:tc>
        <w:tc>
          <w:tcPr>
            <w:tcW w:w="1665" w:type="dxa"/>
            <w:vMerge/>
            <w:vAlign w:val="center"/>
          </w:tcPr>
          <w:p w:rsidR="00DD4BF7" w:rsidRDefault="00DD4BF7" w:rsidP="00CE69B7">
            <w:pPr>
              <w:widowControl/>
              <w:spacing w:line="240" w:lineRule="exact"/>
              <w:jc w:val="center"/>
              <w:rPr>
                <w:rFonts w:ascii="Times New Roman" w:hAnsi="Times New Roman"/>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1012"/>
        </w:trPr>
        <w:tc>
          <w:tcPr>
            <w:tcW w:w="980" w:type="dxa"/>
            <w:vMerge/>
            <w:vAlign w:val="center"/>
          </w:tcPr>
          <w:p w:rsidR="00DD4BF7" w:rsidRDefault="00DD4BF7" w:rsidP="00CE69B7">
            <w:pPr>
              <w:widowControl/>
              <w:spacing w:line="240" w:lineRule="exact"/>
              <w:jc w:val="center"/>
              <w:rPr>
                <w:rFonts w:ascii="宋体" w:hAnsi="宋体" w:cs="宋体" w:hint="eastAsia"/>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4803" w:type="dxa"/>
            <w:vAlign w:val="center"/>
          </w:tcPr>
          <w:p w:rsidR="00DD4BF7" w:rsidRDefault="00DD4BF7" w:rsidP="00CE69B7">
            <w:pPr>
              <w:widowControl/>
              <w:spacing w:line="240" w:lineRule="exact"/>
              <w:jc w:val="left"/>
              <w:rPr>
                <w:rFonts w:ascii="宋体" w:hAnsi="宋体" w:cs="宋体"/>
                <w:kern w:val="0"/>
                <w:szCs w:val="21"/>
              </w:rPr>
            </w:pPr>
            <w:r>
              <w:rPr>
                <w:rFonts w:ascii="宋体" w:hAnsi="宋体" w:cs="宋体" w:hint="eastAsia"/>
                <w:kern w:val="0"/>
                <w:szCs w:val="21"/>
              </w:rPr>
              <w:t>在政府提供的达标健康促进企业名单中，随机抽取1个企业开展现场考核，记录现场考核得分，最高15分。</w:t>
            </w:r>
          </w:p>
        </w:tc>
        <w:tc>
          <w:tcPr>
            <w:tcW w:w="1995" w:type="dxa"/>
            <w:vAlign w:val="center"/>
          </w:tcPr>
          <w:p w:rsidR="00DD4BF7" w:rsidRDefault="00DD4BF7" w:rsidP="00CE69B7">
            <w:pPr>
              <w:widowControl/>
              <w:spacing w:line="240" w:lineRule="exact"/>
              <w:jc w:val="left"/>
              <w:rPr>
                <w:rFonts w:ascii="宋体" w:hAnsi="宋体" w:cs="宋体"/>
                <w:kern w:val="0"/>
                <w:szCs w:val="21"/>
              </w:rPr>
            </w:pPr>
            <w:r>
              <w:rPr>
                <w:rFonts w:ascii="宋体" w:hAnsi="宋体" w:cs="宋体" w:hint="eastAsia"/>
                <w:kern w:val="0"/>
                <w:szCs w:val="21"/>
              </w:rPr>
              <w:t>现场考核</w:t>
            </w:r>
          </w:p>
        </w:tc>
        <w:tc>
          <w:tcPr>
            <w:tcW w:w="795" w:type="dxa"/>
            <w:vAlign w:val="center"/>
          </w:tcPr>
          <w:p w:rsidR="00DD4BF7" w:rsidRDefault="00DD4BF7" w:rsidP="00CE69B7">
            <w:pPr>
              <w:widowControl/>
              <w:spacing w:line="240" w:lineRule="exact"/>
              <w:jc w:val="center"/>
              <w:rPr>
                <w:rFonts w:ascii="Times New Roman" w:hAnsi="Times New Roman"/>
                <w:kern w:val="0"/>
                <w:szCs w:val="21"/>
              </w:rPr>
            </w:pPr>
            <w:r>
              <w:rPr>
                <w:rFonts w:ascii="Times New Roman" w:hAnsi="Times New Roman"/>
                <w:kern w:val="0"/>
                <w:szCs w:val="21"/>
              </w:rPr>
              <w:t>15</w:t>
            </w:r>
          </w:p>
        </w:tc>
        <w:tc>
          <w:tcPr>
            <w:tcW w:w="1665" w:type="dxa"/>
            <w:vMerge/>
            <w:vAlign w:val="center"/>
          </w:tcPr>
          <w:p w:rsidR="00DD4BF7" w:rsidRDefault="00DD4BF7" w:rsidP="00CE69B7">
            <w:pPr>
              <w:widowControl/>
              <w:spacing w:line="240" w:lineRule="exact"/>
              <w:jc w:val="center"/>
              <w:rPr>
                <w:rFonts w:ascii="Times New Roman" w:hAnsi="Times New Roman"/>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9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7.公共环境</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建设健康步道、健康主题公园等公共设施。</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spacing w:val="-10"/>
                <w:kern w:val="0"/>
                <w:szCs w:val="21"/>
              </w:rPr>
              <w:t>建立无烟环境工作机制，有工作计划（方案）得5分，如工作计划（方案）基本要素不完整的酌情扣分；有督导报告，且督导场所涵盖辖区内主要公共场所、工作场所、公共交通工具等场所的得</w:t>
            </w:r>
            <w:r>
              <w:rPr>
                <w:rFonts w:ascii="Times New Roman" w:hAnsi="Times New Roman"/>
                <w:color w:val="000000"/>
                <w:spacing w:val="-10"/>
                <w:kern w:val="0"/>
                <w:szCs w:val="21"/>
              </w:rPr>
              <w:t>5</w:t>
            </w:r>
            <w:r>
              <w:rPr>
                <w:rFonts w:ascii="宋体" w:hAnsi="宋体" w:cs="宋体" w:hint="eastAsia"/>
                <w:color w:val="000000"/>
                <w:spacing w:val="-10"/>
                <w:kern w:val="0"/>
                <w:szCs w:val="21"/>
              </w:rPr>
              <w:t>分，如督导覆盖面较少等酌情扣分。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检查档案资料、督导通知、记录或督导报告等资料。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县卫生健康局牵头、县住房城乡建设局、县自然资源局、县交通运输局</w:t>
            </w: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220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建设健康步道、健康主题公园等公共设施。</w:t>
            </w:r>
          </w:p>
        </w:tc>
        <w:tc>
          <w:tcPr>
            <w:tcW w:w="4803" w:type="dxa"/>
            <w:vAlign w:val="center"/>
          </w:tcPr>
          <w:p w:rsidR="00DD4BF7" w:rsidRDefault="00DD4BF7" w:rsidP="00CE69B7">
            <w:pPr>
              <w:widowControl/>
              <w:spacing w:line="240" w:lineRule="exact"/>
              <w:jc w:val="left"/>
              <w:rPr>
                <w:rFonts w:ascii="宋体" w:hAnsi="宋体" w:cs="宋体"/>
                <w:color w:val="000000"/>
                <w:spacing w:val="-8"/>
                <w:kern w:val="0"/>
                <w:szCs w:val="21"/>
              </w:rPr>
            </w:pPr>
            <w:r>
              <w:rPr>
                <w:rFonts w:ascii="宋体" w:hAnsi="宋体" w:cs="宋体" w:hint="eastAsia"/>
                <w:color w:val="000000"/>
                <w:spacing w:val="-8"/>
                <w:kern w:val="0"/>
                <w:szCs w:val="21"/>
              </w:rPr>
              <w:t>建设至少</w:t>
            </w:r>
            <w:r>
              <w:rPr>
                <w:rFonts w:ascii="Times New Roman" w:hAnsi="Times New Roman"/>
                <w:color w:val="000000"/>
                <w:spacing w:val="-8"/>
                <w:kern w:val="0"/>
                <w:szCs w:val="21"/>
              </w:rPr>
              <w:t>1</w:t>
            </w:r>
            <w:r>
              <w:rPr>
                <w:rFonts w:ascii="宋体" w:hAnsi="宋体" w:cs="宋体" w:hint="eastAsia"/>
                <w:color w:val="000000"/>
                <w:spacing w:val="-8"/>
                <w:kern w:val="0"/>
                <w:szCs w:val="21"/>
              </w:rPr>
              <w:t>个健康主题公园得</w:t>
            </w:r>
            <w:r>
              <w:rPr>
                <w:rFonts w:ascii="Times New Roman" w:hAnsi="Times New Roman"/>
                <w:color w:val="000000"/>
                <w:spacing w:val="-8"/>
                <w:kern w:val="0"/>
                <w:szCs w:val="21"/>
              </w:rPr>
              <w:t>5</w:t>
            </w:r>
            <w:r>
              <w:rPr>
                <w:rFonts w:ascii="宋体" w:hAnsi="宋体" w:cs="宋体" w:hint="eastAsia"/>
                <w:color w:val="000000"/>
                <w:spacing w:val="-8"/>
                <w:kern w:val="0"/>
                <w:szCs w:val="21"/>
              </w:rPr>
              <w:t>分，建设至少</w:t>
            </w:r>
            <w:r>
              <w:rPr>
                <w:rFonts w:ascii="Times New Roman" w:hAnsi="Times New Roman"/>
                <w:color w:val="000000"/>
                <w:spacing w:val="-8"/>
                <w:kern w:val="0"/>
                <w:szCs w:val="21"/>
              </w:rPr>
              <w:t>1</w:t>
            </w:r>
            <w:r>
              <w:rPr>
                <w:rFonts w:ascii="宋体" w:hAnsi="宋体" w:cs="宋体" w:hint="eastAsia"/>
                <w:color w:val="000000"/>
                <w:spacing w:val="-8"/>
                <w:kern w:val="0"/>
                <w:szCs w:val="21"/>
              </w:rPr>
              <w:t>条健康步道得</w:t>
            </w:r>
            <w:r>
              <w:rPr>
                <w:rFonts w:ascii="Times New Roman" w:hAnsi="Times New Roman"/>
                <w:color w:val="000000"/>
                <w:spacing w:val="-8"/>
                <w:kern w:val="0"/>
                <w:szCs w:val="21"/>
              </w:rPr>
              <w:t>5</w:t>
            </w:r>
            <w:r>
              <w:rPr>
                <w:rFonts w:ascii="宋体" w:hAnsi="宋体" w:cs="宋体" w:hint="eastAsia"/>
                <w:color w:val="000000"/>
                <w:spacing w:val="-8"/>
                <w:kern w:val="0"/>
                <w:szCs w:val="21"/>
              </w:rPr>
              <w:t>分，累计不超过10分。</w:t>
            </w:r>
          </w:p>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spacing w:val="-8"/>
                <w:kern w:val="0"/>
                <w:szCs w:val="21"/>
              </w:rPr>
              <w:t>健康主题公园、健康步道可参照中国疾控中心制定的全民健康生活方式行动健康支持性环境健康主题公园、健康步道评估标准或《合成材料面层健身步道要求》T/ CSVA 0102-2017等国家要求进行规划建设。选址合理，便于群众参与使用，健康主题公园有适量的健身器材、健康知识宣传区，健康步道要求避开交通要道，有行走路径指示、健康知识宣传、安全提示等标识，路面平整。</w:t>
            </w:r>
          </w:p>
        </w:tc>
        <w:tc>
          <w:tcPr>
            <w:tcW w:w="1995" w:type="dxa"/>
            <w:vMerge w:val="restart"/>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现场查看</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restart"/>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县卫生健康局牵头、县文体广</w:t>
            </w:r>
            <w:r>
              <w:rPr>
                <w:rFonts w:ascii="宋体" w:hAnsi="宋体" w:cs="宋体"/>
                <w:color w:val="000000"/>
                <w:kern w:val="0"/>
                <w:szCs w:val="21"/>
              </w:rPr>
              <w:t>旅</w:t>
            </w:r>
            <w:r>
              <w:rPr>
                <w:rFonts w:ascii="宋体" w:hAnsi="宋体" w:cs="宋体" w:hint="eastAsia"/>
                <w:color w:val="000000"/>
                <w:kern w:val="0"/>
                <w:szCs w:val="21"/>
              </w:rPr>
              <w:t>局、县自然资源局、县交通运输局、县城管执法局</w:t>
            </w:r>
          </w:p>
        </w:tc>
        <w:tc>
          <w:tcPr>
            <w:tcW w:w="1064" w:type="dxa"/>
            <w:vMerge w:val="restart"/>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658"/>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所有室内公共场所、工作场所和公共交通工具全面禁止吸烟，营造促进健康的公共环境。</w:t>
            </w:r>
          </w:p>
        </w:tc>
        <w:tc>
          <w:tcPr>
            <w:tcW w:w="4803" w:type="dxa"/>
            <w:vAlign w:val="center"/>
          </w:tcPr>
          <w:p w:rsidR="00DD4BF7" w:rsidRDefault="00DD4BF7" w:rsidP="00CE69B7">
            <w:pPr>
              <w:widowControl/>
              <w:spacing w:line="240" w:lineRule="exact"/>
              <w:jc w:val="left"/>
              <w:rPr>
                <w:rFonts w:ascii="宋体" w:hAnsi="宋体" w:cs="宋体"/>
                <w:color w:val="000000"/>
                <w:spacing w:val="-10"/>
                <w:kern w:val="0"/>
                <w:szCs w:val="21"/>
              </w:rPr>
            </w:pPr>
            <w:r>
              <w:rPr>
                <w:rFonts w:ascii="宋体" w:hAnsi="宋体" w:cs="宋体" w:hint="eastAsia"/>
                <w:color w:val="000000"/>
                <w:spacing w:val="-10"/>
                <w:kern w:val="0"/>
                <w:szCs w:val="21"/>
              </w:rPr>
              <w:t>评估过程中经过的主要交通道路、公共场所和公园步道等，有禁烟标识，环境卫生，无垃圾露天堆放、无烟头乱扔等现象，健康主题公园和步道有健康提示。整体环境卫生整洁、禁烟标识数量充足得10分，如有环境卫生管理不到位、禁烟标识较少等不符合标准要求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665"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Merge/>
            <w:vAlign w:val="center"/>
          </w:tcPr>
          <w:p w:rsidR="00DD4BF7" w:rsidRDefault="00DD4BF7" w:rsidP="00CE69B7">
            <w:pPr>
              <w:widowControl/>
              <w:spacing w:line="240" w:lineRule="exact"/>
              <w:jc w:val="center"/>
              <w:rPr>
                <w:rFonts w:ascii="Times New Roman" w:hAnsi="Times New Roman"/>
                <w:color w:val="000000"/>
                <w:kern w:val="0"/>
                <w:szCs w:val="21"/>
              </w:rPr>
            </w:pPr>
          </w:p>
        </w:tc>
      </w:tr>
      <w:tr w:rsidR="00DD4BF7" w:rsidTr="00CE69B7">
        <w:trPr>
          <w:trHeight w:val="983"/>
        </w:trPr>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四、健康文化（150分）</w:t>
            </w: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四、健康文化（150分）</w:t>
            </w:r>
          </w:p>
          <w:p w:rsidR="00DD4BF7" w:rsidRDefault="00DD4BF7" w:rsidP="00CE69B7">
            <w:pPr>
              <w:widowControl/>
              <w:spacing w:line="240" w:lineRule="exact"/>
              <w:jc w:val="center"/>
              <w:rPr>
                <w:rFonts w:ascii="宋体" w:hAnsi="宋体" w:cs="宋体"/>
                <w:color w:val="000000"/>
                <w:kern w:val="0"/>
                <w:szCs w:val="21"/>
              </w:rPr>
            </w:pPr>
          </w:p>
        </w:tc>
        <w:tc>
          <w:tcPr>
            <w:tcW w:w="980"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1.媒体合作</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本地电视台、广播电台和报纸开设健康类节目或栏目。</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开设电视台健康节目、广播电台健康节目、报纸健康栏目，每有一类媒体栏目且建设满半年的得5分，媒体栏目开设不满半年的每类得3分，累计不超过15分。</w:t>
            </w:r>
          </w:p>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如县没有本地的电视台的，健康促进县区评估最后得分=综合评分/(1000-5)×1000，以此类推。</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检查档案资料，如和电视、广播电台、报纸签订的合同，实际刊播的图片、媒体出具的刊播证明等材料。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1665" w:type="dxa"/>
            <w:vAlign w:val="center"/>
          </w:tcPr>
          <w:p w:rsidR="00DD4BF7" w:rsidRDefault="00DD4BF7" w:rsidP="00CE69B7">
            <w:pPr>
              <w:widowControl/>
              <w:spacing w:line="240" w:lineRule="exact"/>
              <w:rPr>
                <w:rFonts w:ascii="宋体" w:hAnsi="宋体" w:cs="宋体" w:hint="eastAsia"/>
                <w:color w:val="000000"/>
                <w:kern w:val="0"/>
                <w:szCs w:val="21"/>
              </w:rPr>
            </w:pPr>
            <w:r>
              <w:rPr>
                <w:rFonts w:ascii="宋体" w:hAnsi="宋体" w:cs="宋体" w:hint="eastAsia"/>
                <w:color w:val="000000"/>
                <w:kern w:val="0"/>
                <w:szCs w:val="21"/>
              </w:rPr>
              <w:t>县融媒体中心牵头、县卫生健康局</w:t>
            </w:r>
          </w:p>
          <w:p w:rsidR="00DD4BF7" w:rsidRDefault="00DD4BF7" w:rsidP="00CE69B7">
            <w:pPr>
              <w:widowControl/>
              <w:spacing w:line="240" w:lineRule="exact"/>
              <w:jc w:val="center"/>
              <w:rPr>
                <w:rFonts w:ascii="Times New Roman" w:hAnsi="Times New Roman"/>
                <w:color w:val="000000"/>
                <w:kern w:val="0"/>
                <w:szCs w:val="21"/>
              </w:rPr>
            </w:pP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07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定期组织媒体培训会或媒体交流会。</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组织召开媒体培训会或举办媒体交流活动（包括媒体培训会、交流会、通气会），每召开或举办1次得5分，累计不超过15分。参加媒体不限于本地区的媒体。</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检查会议或活动通知、日程表、签到表、相片等档案资料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15</w:t>
            </w:r>
          </w:p>
        </w:tc>
        <w:tc>
          <w:tcPr>
            <w:tcW w:w="1665" w:type="dxa"/>
            <w:vAlign w:val="center"/>
          </w:tcPr>
          <w:p w:rsidR="00DD4BF7" w:rsidRDefault="00DD4BF7" w:rsidP="00CE69B7">
            <w:pPr>
              <w:widowControl/>
              <w:spacing w:line="240" w:lineRule="exact"/>
              <w:rPr>
                <w:rFonts w:ascii="宋体" w:hAnsi="宋体" w:cs="宋体" w:hint="eastAsia"/>
                <w:color w:val="000000"/>
                <w:kern w:val="0"/>
                <w:szCs w:val="21"/>
              </w:rPr>
            </w:pPr>
            <w:r>
              <w:rPr>
                <w:rFonts w:ascii="宋体" w:hAnsi="宋体" w:cs="宋体" w:hint="eastAsia"/>
                <w:color w:val="000000"/>
                <w:kern w:val="0"/>
                <w:szCs w:val="21"/>
              </w:rPr>
              <w:t>县融媒体中心牵头、县卫生健康局</w:t>
            </w:r>
          </w:p>
          <w:p w:rsidR="00DD4BF7" w:rsidRDefault="00DD4BF7" w:rsidP="00CE69B7">
            <w:pPr>
              <w:widowControl/>
              <w:spacing w:line="240" w:lineRule="exact"/>
              <w:jc w:val="center"/>
              <w:rPr>
                <w:rFonts w:ascii="Times New Roman" w:hAnsi="Times New Roman"/>
                <w:color w:val="000000"/>
                <w:kern w:val="0"/>
                <w:szCs w:val="21"/>
              </w:rPr>
            </w:pP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687"/>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2.新媒体健康传播</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设立健康类微博、微信等新媒体平台，开展健康科普。</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设立有专人维护、定期更新（至少每周更新一次）的健康类新媒体平台（微信公众号、微博账号），主要内容为宣传健康促进县区建设相关政策、实施情况、健康科普知识等，且开设时间达到半年以上的每有1类得</w:t>
            </w:r>
            <w:r>
              <w:rPr>
                <w:rFonts w:ascii="Times New Roman" w:hAnsi="Times New Roman"/>
                <w:color w:val="000000"/>
                <w:kern w:val="0"/>
                <w:szCs w:val="21"/>
              </w:rPr>
              <w:t>20</w:t>
            </w:r>
            <w:r>
              <w:rPr>
                <w:rFonts w:ascii="宋体" w:hAnsi="宋体" w:cs="宋体" w:hint="eastAsia"/>
                <w:color w:val="000000"/>
                <w:kern w:val="0"/>
                <w:szCs w:val="21"/>
              </w:rPr>
              <w:t>分，如开设后更新频次达不到要求的每类得10分，累计不超过</w:t>
            </w:r>
            <w:r>
              <w:rPr>
                <w:rFonts w:ascii="Times New Roman" w:hAnsi="Times New Roman"/>
                <w:color w:val="000000"/>
                <w:kern w:val="0"/>
                <w:szCs w:val="21"/>
              </w:rPr>
              <w:t>40</w:t>
            </w:r>
            <w:r>
              <w:rPr>
                <w:rFonts w:ascii="宋体" w:hAnsi="宋体" w:cs="宋体" w:hint="eastAsia"/>
                <w:color w:val="000000"/>
                <w:kern w:val="0"/>
                <w:szCs w:val="21"/>
              </w:rPr>
              <w:t>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通过手机、电脑等现场检查媒体平台设立情况。</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40</w:t>
            </w:r>
          </w:p>
        </w:tc>
        <w:tc>
          <w:tcPr>
            <w:tcW w:w="166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县融媒体中心牵头、县卫生健康局</w:t>
            </w:r>
          </w:p>
          <w:p w:rsidR="00DD4BF7" w:rsidRDefault="00DD4BF7" w:rsidP="00CE69B7">
            <w:pPr>
              <w:widowControl/>
              <w:spacing w:line="240" w:lineRule="exact"/>
              <w:jc w:val="left"/>
              <w:rPr>
                <w:rFonts w:ascii="Times New Roman" w:hAnsi="Times New Roman"/>
                <w:color w:val="000000"/>
                <w:kern w:val="0"/>
                <w:szCs w:val="21"/>
              </w:rPr>
            </w:pP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77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3.节日纪念日主题活动</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利用重要节日纪念日宣传时段内开展健康主题活动。</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举办多部门联合的（2个部门以上）、单场活动人数不低于200人的、线上线下联合的、有媒体深入宣传的节日纪念日活动，每举办</w:t>
            </w:r>
            <w:r>
              <w:rPr>
                <w:rFonts w:ascii="Times New Roman" w:hAnsi="Times New Roman"/>
                <w:color w:val="000000"/>
                <w:kern w:val="0"/>
                <w:szCs w:val="21"/>
              </w:rPr>
              <w:t>1</w:t>
            </w:r>
            <w:r>
              <w:rPr>
                <w:rFonts w:ascii="宋体" w:hAnsi="宋体" w:cs="宋体" w:hint="eastAsia"/>
                <w:color w:val="000000"/>
                <w:kern w:val="0"/>
                <w:szCs w:val="21"/>
              </w:rPr>
              <w:t>次符合要求的活动得</w:t>
            </w:r>
            <w:r>
              <w:rPr>
                <w:rFonts w:ascii="Times New Roman" w:hAnsi="Times New Roman"/>
                <w:color w:val="000000"/>
                <w:kern w:val="0"/>
                <w:szCs w:val="21"/>
              </w:rPr>
              <w:t>5</w:t>
            </w:r>
            <w:r>
              <w:rPr>
                <w:rFonts w:ascii="宋体" w:hAnsi="宋体" w:cs="宋体" w:hint="eastAsia"/>
                <w:color w:val="000000"/>
                <w:kern w:val="0"/>
                <w:szCs w:val="21"/>
              </w:rPr>
              <w:t>分，如活动达不到上述条件的不能计分，累计不超过</w:t>
            </w:r>
            <w:r>
              <w:rPr>
                <w:rFonts w:ascii="Times New Roman" w:hAnsi="Times New Roman"/>
                <w:color w:val="000000"/>
                <w:kern w:val="0"/>
                <w:szCs w:val="21"/>
              </w:rPr>
              <w:t>40</w:t>
            </w:r>
            <w:r>
              <w:rPr>
                <w:rFonts w:ascii="宋体" w:hAnsi="宋体" w:cs="宋体" w:hint="eastAsia"/>
                <w:color w:val="000000"/>
                <w:kern w:val="0"/>
                <w:szCs w:val="21"/>
              </w:rPr>
              <w:t>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检查开展活动的通知、方案、总结、相片、媒体报道等档案资料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40</w:t>
            </w:r>
          </w:p>
        </w:tc>
        <w:tc>
          <w:tcPr>
            <w:tcW w:w="166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县融媒体中心牵头、县卫生健康局</w:t>
            </w:r>
          </w:p>
          <w:p w:rsidR="00DD4BF7" w:rsidRDefault="00DD4BF7" w:rsidP="00CE69B7">
            <w:pPr>
              <w:widowControl/>
              <w:spacing w:line="240" w:lineRule="exact"/>
              <w:jc w:val="left"/>
              <w:rPr>
                <w:rFonts w:ascii="Times New Roman" w:hAnsi="Times New Roman"/>
                <w:color w:val="000000"/>
                <w:kern w:val="0"/>
                <w:szCs w:val="21"/>
              </w:rPr>
            </w:pP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1303"/>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4.健康传播</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媒体积极宣传健康促进县建设工作进展和成效。</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各类媒体（包括电视、广播、报纸、媒体官微等）宣传报道健康促进县相关工作进展，每一类媒体报道一次得2分，累计不超过40分。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检查媒体报道的截图、报纸实物等档案资料。</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40</w:t>
            </w:r>
          </w:p>
        </w:tc>
        <w:tc>
          <w:tcPr>
            <w:tcW w:w="1665" w:type="dxa"/>
            <w:vAlign w:val="center"/>
          </w:tcPr>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县融媒体中心</w:t>
            </w:r>
          </w:p>
          <w:p w:rsidR="00DD4BF7" w:rsidRDefault="00DD4BF7" w:rsidP="00CE69B7">
            <w:pPr>
              <w:widowControl/>
              <w:spacing w:line="240" w:lineRule="exact"/>
              <w:jc w:val="left"/>
              <w:rPr>
                <w:rFonts w:ascii="Times New Roman" w:hAnsi="Times New Roman"/>
                <w:color w:val="000000"/>
                <w:kern w:val="0"/>
                <w:szCs w:val="21"/>
              </w:rPr>
            </w:pPr>
          </w:p>
        </w:tc>
        <w:tc>
          <w:tcPr>
            <w:tcW w:w="1064" w:type="dxa"/>
            <w:vAlign w:val="center"/>
          </w:tcPr>
          <w:p w:rsidR="00DD4BF7" w:rsidRDefault="00DD4BF7" w:rsidP="00CE69B7">
            <w:pPr>
              <w:widowControl/>
              <w:spacing w:line="240" w:lineRule="exact"/>
              <w:jc w:val="left"/>
              <w:rPr>
                <w:rFonts w:ascii="Times New Roman" w:hAnsi="Times New Roman"/>
                <w:color w:val="000000"/>
                <w:kern w:val="0"/>
                <w:szCs w:val="21"/>
              </w:rPr>
            </w:pPr>
            <w:r>
              <w:rPr>
                <w:rFonts w:ascii="宋体" w:hAnsi="宋体" w:cs="宋体" w:hint="eastAsia"/>
                <w:color w:val="000000"/>
                <w:kern w:val="0"/>
                <w:szCs w:val="21"/>
              </w:rPr>
              <w:t>2021年10月29日前</w:t>
            </w:r>
          </w:p>
        </w:tc>
      </w:tr>
      <w:tr w:rsidR="00DD4BF7" w:rsidTr="00CE69B7">
        <w:trPr>
          <w:trHeight w:val="885"/>
        </w:trPr>
        <w:tc>
          <w:tcPr>
            <w:tcW w:w="980" w:type="dxa"/>
            <w:vMerge w:val="restart"/>
            <w:vAlign w:val="center"/>
          </w:tcPr>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五、健康环境（130分）</w:t>
            </w: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五、健康环境（130分）</w:t>
            </w: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r>
              <w:rPr>
                <w:rFonts w:ascii="宋体" w:hAnsi="宋体" w:cs="宋体" w:hint="eastAsia"/>
                <w:color w:val="000000"/>
                <w:kern w:val="0"/>
                <w:szCs w:val="21"/>
              </w:rPr>
              <w:t>五、健康环境（130分）</w:t>
            </w: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lastRenderedPageBreak/>
              <w:t>1.空气质量</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环境空气质量优良天数占比&gt;80%。</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核实优良天数占比&gt;80%的得10分，不达标的酌情扣分。</w:t>
            </w:r>
          </w:p>
        </w:tc>
        <w:tc>
          <w:tcPr>
            <w:tcW w:w="1995" w:type="dxa"/>
            <w:vMerge w:val="restart"/>
            <w:vAlign w:val="center"/>
          </w:tcPr>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检查档案资料，如主管部门盖公章出具的证明文件、或监测（抽检）报告、工作总结，正式出版或官网发布的年鉴等。</w:t>
            </w: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检查档案资料，如主管部门盖公章出具的证明文件、或监测（抽检）报告、工作总结，正式出版或官网发布的年鉴等。</w:t>
            </w: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lastRenderedPageBreak/>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融安生态环境局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939"/>
        </w:trPr>
        <w:tc>
          <w:tcPr>
            <w:tcW w:w="980" w:type="dxa"/>
            <w:vMerge/>
            <w:vAlign w:val="center"/>
          </w:tcPr>
          <w:p w:rsidR="00DD4BF7" w:rsidRDefault="00DD4BF7" w:rsidP="00CE69B7">
            <w:pPr>
              <w:widowControl/>
              <w:spacing w:line="240" w:lineRule="exact"/>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2.饮用水质量</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生活饮用水水质合格率达100%。</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核实建成区生活饮用水合格率达100%的得10分，不达标的酌情扣分。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县卫生计生监督所、县住房城乡建设局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1037"/>
        </w:trPr>
        <w:tc>
          <w:tcPr>
            <w:tcW w:w="980" w:type="dxa"/>
            <w:vMerge/>
            <w:vAlign w:val="center"/>
          </w:tcPr>
          <w:p w:rsidR="00DD4BF7" w:rsidRDefault="00DD4BF7" w:rsidP="00CE69B7">
            <w:pPr>
              <w:widowControl/>
              <w:spacing w:line="240" w:lineRule="exact"/>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3.食品安全</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食品监督抽检合格率达100%。</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核实食品监督抽检合格率达100%的得10分，不达标的酌情扣分。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县市场监管局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1185"/>
        </w:trPr>
        <w:tc>
          <w:tcPr>
            <w:tcW w:w="980" w:type="dxa"/>
            <w:vMerge/>
            <w:vAlign w:val="center"/>
          </w:tcPr>
          <w:p w:rsidR="00DD4BF7" w:rsidRDefault="00DD4BF7" w:rsidP="00CE69B7">
            <w:pPr>
              <w:widowControl/>
              <w:spacing w:line="240" w:lineRule="exact"/>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4.垃圾处理</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建城区生活垃圾无害化处理率≥95%，农村生活垃圾集中处理率≥90%。</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核实建城区生活垃圾无害化处理率≥95%，且农村生活垃圾集中处理率≥90%的得10分，任一指标不达标的酌情扣分。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县城管执法局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1352"/>
        </w:trPr>
        <w:tc>
          <w:tcPr>
            <w:tcW w:w="980" w:type="dxa"/>
            <w:vMerge/>
            <w:vAlign w:val="center"/>
          </w:tcPr>
          <w:p w:rsidR="00DD4BF7" w:rsidRDefault="00DD4BF7" w:rsidP="00CE69B7">
            <w:pPr>
              <w:widowControl/>
              <w:spacing w:line="240" w:lineRule="exact"/>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5.污水处理</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城区生活污水集中处理率达到95%，县或县级市（建成区）生活污水集中处理率达到85%。</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核实城区生活污水集中处理率达到95%，或县或县级市（建成区）生活污水集中处理率达到85%的得10分，不达标的酌情扣分。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县住房城乡建设局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1260"/>
        </w:trPr>
        <w:tc>
          <w:tcPr>
            <w:tcW w:w="980" w:type="dxa"/>
            <w:vMerge/>
            <w:vAlign w:val="center"/>
          </w:tcPr>
          <w:p w:rsidR="00DD4BF7" w:rsidRDefault="00DD4BF7" w:rsidP="00CE69B7">
            <w:pPr>
              <w:widowControl/>
              <w:spacing w:line="240" w:lineRule="exact"/>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6.厕所</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建成区三类以上公厕比例≥80%，农村无害化卫生厕所普及率≥60%。</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核实建成区三类以上公厕比例≥80%，且农村无害化卫生厕所普及率≥60%的得10分，任一指标不达标的酌情扣分。</w:t>
            </w:r>
          </w:p>
        </w:tc>
        <w:tc>
          <w:tcPr>
            <w:tcW w:w="1995" w:type="dxa"/>
            <w:vMerge w:val="restart"/>
            <w:vAlign w:val="center"/>
          </w:tcPr>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检查档案资料，如主管部门盖公章出具的证明文件、或监测（抽检）报告、工作总结，正式出版或官网发布的年鉴等。</w:t>
            </w: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center"/>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p>
          <w:p w:rsidR="00DD4BF7" w:rsidRDefault="00DD4BF7" w:rsidP="00CE69B7">
            <w:pPr>
              <w:widowControl/>
              <w:spacing w:line="240" w:lineRule="exact"/>
              <w:jc w:val="left"/>
              <w:rPr>
                <w:rFonts w:ascii="宋体" w:hAnsi="宋体" w:cs="宋体" w:hint="eastAsia"/>
                <w:color w:val="000000"/>
                <w:kern w:val="0"/>
                <w:szCs w:val="21"/>
              </w:rPr>
            </w:pPr>
            <w:r>
              <w:rPr>
                <w:rFonts w:ascii="宋体" w:hAnsi="宋体" w:cs="宋体" w:hint="eastAsia"/>
                <w:color w:val="000000"/>
                <w:kern w:val="0"/>
                <w:szCs w:val="21"/>
              </w:rPr>
              <w:t>检查档案资料，如主管部门盖公章出具的证明文件、或监测（抽检）报告、工作总结，正式出版或官网发布的年鉴等。</w:t>
            </w: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lastRenderedPageBreak/>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县农业农村局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802"/>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7.绿地</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建城区人均公园绿地面积≥14.6平方米。</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核实建城区人均公园绿地面积≥14.6平方米的得10分，不达标的酌情扣分。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县城管执法局、县自然资源和规划局</w:t>
            </w:r>
          </w:p>
        </w:tc>
        <w:tc>
          <w:tcPr>
            <w:tcW w:w="1064"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699"/>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8.住房</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城镇居民人均住房面积达35平方米。</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核实城镇居民人均住房面积达35平方米的得10分，不达标的酌情扣分。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1064" w:type="dxa"/>
            <w:vMerge/>
            <w:vAlign w:val="center"/>
          </w:tcPr>
          <w:p w:rsidR="00DD4BF7" w:rsidRDefault="00DD4BF7" w:rsidP="00CE69B7">
            <w:pPr>
              <w:widowControl/>
              <w:spacing w:line="240" w:lineRule="exact"/>
              <w:jc w:val="left"/>
              <w:rPr>
                <w:rFonts w:ascii="宋体" w:hAnsi="宋体" w:cs="宋体"/>
                <w:color w:val="000000"/>
                <w:kern w:val="0"/>
                <w:szCs w:val="21"/>
              </w:rPr>
            </w:pPr>
          </w:p>
        </w:tc>
      </w:tr>
      <w:tr w:rsidR="00DD4BF7" w:rsidTr="00CE69B7">
        <w:trPr>
          <w:trHeight w:val="833"/>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9.体育设施</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人均体育场地面积达到1.8平方米。</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核实人均体育场地面积达到1.8平方米的得10分，不达标的酌情扣分。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县文化体育广电和旅游局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w:t>
            </w:r>
          </w:p>
        </w:tc>
      </w:tr>
      <w:tr w:rsidR="00DD4BF7" w:rsidTr="00CE69B7">
        <w:trPr>
          <w:trHeight w:val="90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10.社会保障</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基本养老保险参保率达到90%。</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核实基本养老保险参保率达到90%的得10分，不达标的酌情扣分。</w:t>
            </w:r>
          </w:p>
        </w:tc>
        <w:tc>
          <w:tcPr>
            <w:tcW w:w="1995"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县人力资源和社会保障局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757"/>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11.养老</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每千名老年人口拥有养老床位数达到35张。</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核实每千名老年人口拥有养老床位数达到35张的得10分，不达标的酌情扣分。</w:t>
            </w:r>
          </w:p>
        </w:tc>
        <w:tc>
          <w:tcPr>
            <w:tcW w:w="1995"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县民政局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810"/>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12.就业</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城镇登记失业率控制在5%以内。</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核实城镇登记失业率控制在5%以内的得10分，不达标的酌情扣分。</w:t>
            </w:r>
          </w:p>
        </w:tc>
        <w:tc>
          <w:tcPr>
            <w:tcW w:w="1995"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县人力资源和社会保障局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682"/>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13.文化教育</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高中阶段教育毛入学率达到90%。</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核实高中阶段教育毛入学率达到90%的得10分，不达标的酌情扣分。</w:t>
            </w:r>
          </w:p>
        </w:tc>
        <w:tc>
          <w:tcPr>
            <w:tcW w:w="1995"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县教育局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1095"/>
        </w:trPr>
        <w:tc>
          <w:tcPr>
            <w:tcW w:w="980" w:type="dxa"/>
            <w:vMerge w:val="restart"/>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六、健康人群（150分）</w:t>
            </w: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1.健康素养</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居民健康素养水平达到全区平均水平，并在原有基础上有所提高。</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高于全区平均水平20%得50分，达到全区平均水平得30分，低于平均水平30%以内得10分,比平均水平低30%以上不得分。</w:t>
            </w:r>
          </w:p>
        </w:tc>
        <w:tc>
          <w:tcPr>
            <w:tcW w:w="1995"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检查卫生健康行政部门盖公章出具的监测报告。</w:t>
            </w: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50</w:t>
            </w:r>
          </w:p>
        </w:tc>
        <w:tc>
          <w:tcPr>
            <w:tcW w:w="1665"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县卫生健康局</w:t>
            </w:r>
          </w:p>
        </w:tc>
        <w:tc>
          <w:tcPr>
            <w:tcW w:w="1064" w:type="dxa"/>
            <w:vMerge w:val="restart"/>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100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2.成人吸烟率</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成人吸烟率低于全区平均水平，并在原有基础上有所降低。</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比全区平均水平低20%得40分,低于全区平均水平得30分,比全区平均水平高30%以内得10分,比全区平均水平高30%不得分。</w:t>
            </w:r>
          </w:p>
        </w:tc>
        <w:tc>
          <w:tcPr>
            <w:tcW w:w="1995"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40</w:t>
            </w:r>
          </w:p>
        </w:tc>
        <w:tc>
          <w:tcPr>
            <w:tcW w:w="1665" w:type="dxa"/>
            <w:vMerge/>
            <w:vAlign w:val="center"/>
          </w:tcPr>
          <w:p w:rsidR="00DD4BF7" w:rsidRDefault="00DD4BF7" w:rsidP="00CE69B7">
            <w:pPr>
              <w:widowControl/>
              <w:spacing w:line="240" w:lineRule="exact"/>
              <w:jc w:val="left"/>
              <w:rPr>
                <w:rFonts w:ascii="宋体" w:hAnsi="宋体" w:cs="宋体"/>
                <w:color w:val="000000"/>
                <w:kern w:val="0"/>
                <w:szCs w:val="21"/>
              </w:rPr>
            </w:pPr>
          </w:p>
        </w:tc>
        <w:tc>
          <w:tcPr>
            <w:tcW w:w="1064" w:type="dxa"/>
            <w:vMerge/>
            <w:vAlign w:val="center"/>
          </w:tcPr>
          <w:p w:rsidR="00DD4BF7" w:rsidRDefault="00DD4BF7" w:rsidP="00CE69B7">
            <w:pPr>
              <w:widowControl/>
              <w:spacing w:line="240" w:lineRule="exact"/>
              <w:jc w:val="left"/>
              <w:rPr>
                <w:rFonts w:ascii="宋体" w:hAnsi="宋体" w:cs="宋体"/>
                <w:color w:val="000000"/>
                <w:kern w:val="0"/>
                <w:szCs w:val="21"/>
              </w:rPr>
            </w:pPr>
          </w:p>
        </w:tc>
      </w:tr>
      <w:tr w:rsidR="00DD4BF7" w:rsidTr="00CE69B7">
        <w:trPr>
          <w:trHeight w:val="1493"/>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3.经常参加体育锻炼人口比例</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经常参加体育锻炼的人口比例高于本省平均水平，并在原有基础上有所提高。</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经常参加体育锻炼的人口比例≥</w:t>
            </w:r>
            <w:r>
              <w:rPr>
                <w:rFonts w:ascii="Times New Roman" w:hAnsi="Times New Roman"/>
                <w:color w:val="000000"/>
                <w:kern w:val="0"/>
                <w:szCs w:val="21"/>
              </w:rPr>
              <w:t>32%</w:t>
            </w:r>
            <w:r>
              <w:rPr>
                <w:rFonts w:ascii="宋体" w:hAnsi="宋体" w:cs="宋体" w:hint="eastAsia"/>
                <w:color w:val="000000"/>
                <w:kern w:val="0"/>
                <w:szCs w:val="21"/>
              </w:rPr>
              <w:t>得</w:t>
            </w:r>
            <w:r>
              <w:rPr>
                <w:rFonts w:ascii="Times New Roman" w:hAnsi="Times New Roman"/>
                <w:color w:val="000000"/>
                <w:kern w:val="0"/>
                <w:szCs w:val="21"/>
              </w:rPr>
              <w:t>30</w:t>
            </w:r>
            <w:r>
              <w:rPr>
                <w:rFonts w:ascii="宋体" w:hAnsi="宋体" w:cs="宋体" w:hint="eastAsia"/>
                <w:color w:val="000000"/>
                <w:kern w:val="0"/>
                <w:szCs w:val="21"/>
              </w:rPr>
              <w:t>分</w:t>
            </w:r>
            <w:r>
              <w:rPr>
                <w:rFonts w:ascii="Times New Roman" w:hAnsi="Times New Roman"/>
                <w:color w:val="000000"/>
                <w:kern w:val="0"/>
                <w:szCs w:val="21"/>
              </w:rPr>
              <w:t>,25%</w:t>
            </w:r>
            <w:r>
              <w:rPr>
                <w:rFonts w:ascii="宋体" w:hAnsi="宋体" w:cs="宋体" w:hint="eastAsia"/>
                <w:color w:val="000000"/>
                <w:kern w:val="0"/>
                <w:szCs w:val="21"/>
              </w:rPr>
              <w:t>（含）</w:t>
            </w:r>
            <w:r>
              <w:rPr>
                <w:rFonts w:ascii="Times New Roman" w:hAnsi="Times New Roman"/>
                <w:color w:val="000000"/>
                <w:kern w:val="0"/>
                <w:szCs w:val="21"/>
              </w:rPr>
              <w:t>~32%</w:t>
            </w:r>
            <w:r>
              <w:rPr>
                <w:rFonts w:ascii="宋体" w:hAnsi="宋体" w:cs="宋体" w:hint="eastAsia"/>
                <w:color w:val="000000"/>
                <w:kern w:val="0"/>
                <w:szCs w:val="21"/>
              </w:rPr>
              <w:t>之间得</w:t>
            </w:r>
            <w:r>
              <w:rPr>
                <w:rFonts w:ascii="Times New Roman" w:hAnsi="Times New Roman"/>
                <w:color w:val="000000"/>
                <w:kern w:val="0"/>
                <w:szCs w:val="21"/>
              </w:rPr>
              <w:t>15</w:t>
            </w:r>
            <w:r>
              <w:rPr>
                <w:rFonts w:ascii="宋体" w:hAnsi="宋体" w:cs="宋体" w:hint="eastAsia"/>
                <w:color w:val="000000"/>
                <w:kern w:val="0"/>
                <w:szCs w:val="21"/>
              </w:rPr>
              <w:t>分</w:t>
            </w:r>
            <w:r>
              <w:rPr>
                <w:rFonts w:ascii="Times New Roman" w:hAnsi="Times New Roman"/>
                <w:color w:val="000000"/>
                <w:kern w:val="0"/>
                <w:szCs w:val="21"/>
              </w:rPr>
              <w:t>,20%</w:t>
            </w:r>
            <w:r>
              <w:rPr>
                <w:rFonts w:ascii="宋体" w:hAnsi="宋体" w:cs="宋体" w:hint="eastAsia"/>
                <w:color w:val="000000"/>
                <w:kern w:val="0"/>
                <w:szCs w:val="21"/>
              </w:rPr>
              <w:t>（含）</w:t>
            </w:r>
            <w:r>
              <w:rPr>
                <w:rFonts w:ascii="Times New Roman" w:hAnsi="Times New Roman"/>
                <w:color w:val="000000"/>
                <w:kern w:val="0"/>
                <w:szCs w:val="21"/>
              </w:rPr>
              <w:t>~25%</w:t>
            </w:r>
            <w:r>
              <w:rPr>
                <w:rFonts w:ascii="宋体" w:hAnsi="宋体" w:cs="宋体" w:hint="eastAsia"/>
                <w:color w:val="000000"/>
                <w:kern w:val="0"/>
                <w:szCs w:val="21"/>
              </w:rPr>
              <w:t>之间得</w:t>
            </w:r>
            <w:r>
              <w:rPr>
                <w:rFonts w:ascii="Times New Roman" w:hAnsi="Times New Roman"/>
                <w:color w:val="000000"/>
                <w:kern w:val="0"/>
                <w:szCs w:val="21"/>
              </w:rPr>
              <w:t>5</w:t>
            </w:r>
            <w:r>
              <w:rPr>
                <w:rFonts w:ascii="宋体" w:hAnsi="宋体" w:cs="宋体" w:hint="eastAsia"/>
                <w:color w:val="000000"/>
                <w:kern w:val="0"/>
                <w:szCs w:val="21"/>
              </w:rPr>
              <w:t>分</w:t>
            </w:r>
            <w:r>
              <w:rPr>
                <w:rFonts w:ascii="Times New Roman" w:hAnsi="Times New Roman"/>
                <w:color w:val="000000"/>
                <w:kern w:val="0"/>
                <w:szCs w:val="21"/>
              </w:rPr>
              <w:t>,</w:t>
            </w:r>
            <w:r>
              <w:rPr>
                <w:rFonts w:ascii="宋体" w:hAnsi="宋体" w:cs="宋体" w:hint="eastAsia"/>
                <w:color w:val="000000"/>
                <w:kern w:val="0"/>
                <w:szCs w:val="21"/>
              </w:rPr>
              <w:t>低于</w:t>
            </w:r>
            <w:r>
              <w:rPr>
                <w:rFonts w:ascii="Times New Roman" w:hAnsi="Times New Roman"/>
                <w:color w:val="000000"/>
                <w:kern w:val="0"/>
                <w:szCs w:val="21"/>
              </w:rPr>
              <w:t>20%</w:t>
            </w:r>
            <w:r>
              <w:rPr>
                <w:rFonts w:ascii="宋体" w:hAnsi="宋体" w:cs="宋体" w:hint="eastAsia"/>
                <w:color w:val="000000"/>
                <w:kern w:val="0"/>
                <w:szCs w:val="21"/>
              </w:rPr>
              <w:t>不得分。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检查体育部门或卫生健康行政部门盖公章出具的证明文件、监测报告、工作总结等。</w:t>
            </w: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县文化体育广电和旅游局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1095"/>
        </w:trPr>
        <w:tc>
          <w:tcPr>
            <w:tcW w:w="980" w:type="dxa"/>
            <w:vMerge/>
            <w:vAlign w:val="center"/>
          </w:tcPr>
          <w:p w:rsidR="00DD4BF7" w:rsidRDefault="00DD4BF7" w:rsidP="00CE69B7">
            <w:pPr>
              <w:widowControl/>
              <w:spacing w:line="240" w:lineRule="exact"/>
              <w:jc w:val="center"/>
              <w:rPr>
                <w:rFonts w:ascii="宋体" w:hAnsi="宋体" w:cs="宋体"/>
                <w:color w:val="000000"/>
                <w:kern w:val="0"/>
                <w:szCs w:val="21"/>
              </w:rPr>
            </w:pPr>
          </w:p>
        </w:tc>
        <w:tc>
          <w:tcPr>
            <w:tcW w:w="980"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4.学生体质健康</w:t>
            </w:r>
          </w:p>
        </w:tc>
        <w:tc>
          <w:tcPr>
            <w:tcW w:w="2300"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学生体质达到教育部《国家学生体质健康标准》有关标准。</w:t>
            </w:r>
          </w:p>
        </w:tc>
        <w:tc>
          <w:tcPr>
            <w:tcW w:w="4803"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学生体质达到合格以上等级的情况，≧95%的得30分,≧94%的得20分,≧92%的得10分,﹤92%的得0分。</w:t>
            </w:r>
          </w:p>
        </w:tc>
        <w:tc>
          <w:tcPr>
            <w:tcW w:w="199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检查教育部门盖公章出具的证明文件、工作总结等。</w:t>
            </w:r>
          </w:p>
        </w:tc>
        <w:tc>
          <w:tcPr>
            <w:tcW w:w="795" w:type="dxa"/>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30</w:t>
            </w:r>
          </w:p>
        </w:tc>
        <w:tc>
          <w:tcPr>
            <w:tcW w:w="1665"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县教育局</w:t>
            </w:r>
          </w:p>
        </w:tc>
        <w:tc>
          <w:tcPr>
            <w:tcW w:w="1064" w:type="dxa"/>
            <w:vAlign w:val="center"/>
          </w:tcPr>
          <w:p w:rsidR="00DD4BF7" w:rsidRDefault="00DD4BF7" w:rsidP="00CE69B7">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2021年10月29日前</w:t>
            </w:r>
          </w:p>
        </w:tc>
      </w:tr>
      <w:tr w:rsidR="00DD4BF7" w:rsidTr="00CE69B7">
        <w:trPr>
          <w:trHeight w:val="683"/>
        </w:trPr>
        <w:tc>
          <w:tcPr>
            <w:tcW w:w="11058" w:type="dxa"/>
            <w:gridSpan w:val="5"/>
            <w:vAlign w:val="center"/>
          </w:tcPr>
          <w:p w:rsidR="00DD4BF7" w:rsidRDefault="00DD4BF7" w:rsidP="00CE69B7">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合计</w:t>
            </w:r>
          </w:p>
        </w:tc>
        <w:tc>
          <w:tcPr>
            <w:tcW w:w="795" w:type="dxa"/>
            <w:vAlign w:val="center"/>
          </w:tcPr>
          <w:p w:rsidR="00DD4BF7" w:rsidRDefault="00DD4BF7" w:rsidP="00CE69B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990</w:t>
            </w:r>
          </w:p>
        </w:tc>
        <w:tc>
          <w:tcPr>
            <w:tcW w:w="1665" w:type="dxa"/>
            <w:vAlign w:val="center"/>
          </w:tcPr>
          <w:p w:rsidR="00DD4BF7" w:rsidRDefault="00DD4BF7" w:rsidP="00CE69B7">
            <w:pPr>
              <w:widowControl/>
              <w:spacing w:line="240" w:lineRule="exact"/>
              <w:jc w:val="center"/>
              <w:rPr>
                <w:rFonts w:ascii="Times New Roman" w:hAnsi="Times New Roman"/>
                <w:color w:val="000000"/>
                <w:kern w:val="0"/>
                <w:szCs w:val="21"/>
              </w:rPr>
            </w:pPr>
          </w:p>
        </w:tc>
        <w:tc>
          <w:tcPr>
            <w:tcW w:w="1064" w:type="dxa"/>
            <w:vAlign w:val="center"/>
          </w:tcPr>
          <w:p w:rsidR="00DD4BF7" w:rsidRDefault="00DD4BF7" w:rsidP="00CE69B7">
            <w:pPr>
              <w:widowControl/>
              <w:spacing w:line="240" w:lineRule="exact"/>
              <w:jc w:val="center"/>
              <w:rPr>
                <w:rFonts w:ascii="Times New Roman" w:hAnsi="Times New Roman"/>
                <w:color w:val="000000"/>
                <w:kern w:val="0"/>
                <w:szCs w:val="21"/>
              </w:rPr>
            </w:pPr>
          </w:p>
        </w:tc>
      </w:tr>
    </w:tbl>
    <w:p w:rsidR="00DD4BF7" w:rsidRDefault="00DD4BF7" w:rsidP="00DD4BF7">
      <w:pPr>
        <w:adjustRightInd w:val="0"/>
        <w:snapToGrid w:val="0"/>
        <w:spacing w:line="560" w:lineRule="exact"/>
        <w:ind w:firstLineChars="200" w:firstLine="640"/>
        <w:rPr>
          <w:rFonts w:ascii="仿宋_GB2312" w:eastAsia="仿宋_GB2312"/>
          <w:sz w:val="32"/>
          <w:szCs w:val="32"/>
        </w:rPr>
        <w:sectPr w:rsidR="00DD4BF7">
          <w:headerReference w:type="default" r:id="rId5"/>
          <w:footerReference w:type="default" r:id="rId6"/>
          <w:pgSz w:w="16838" w:h="11906" w:orient="landscape"/>
          <w:pgMar w:top="1701" w:right="1417" w:bottom="1701" w:left="1417" w:header="851" w:footer="992" w:gutter="0"/>
          <w:cols w:space="720"/>
          <w:docGrid w:linePitch="312"/>
        </w:sectPr>
      </w:pPr>
    </w:p>
    <w:p w:rsidR="00213CC6" w:rsidRDefault="00213CC6"/>
    <w:sectPr w:rsidR="00213CC6" w:rsidSect="00213C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2D3D">
    <w:pPr>
      <w:pStyle w:val="a3"/>
    </w:pPr>
    <w:r>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60288;mso-wrap-style:none;mso-position-horizontal:center;mso-position-horizontal-relative:margin" filled="f" stroked="f">
          <v:textbox style="mso-fit-shape-to-text:t" inset="0,0,0,0">
            <w:txbxContent>
              <w:p w:rsidR="00000000" w:rsidRDefault="00E82D3D">
                <w:pPr>
                  <w:snapToGrid w:val="0"/>
                  <w:rPr>
                    <w:rFonts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D4BF7">
                  <w:rPr>
                    <w:rFonts w:ascii="宋体" w:hAnsi="宋体" w:cs="宋体"/>
                    <w:noProof/>
                    <w:sz w:val="28"/>
                    <w:szCs w:val="28"/>
                  </w:rPr>
                  <w:t>7</w:t>
                </w:r>
                <w:r>
                  <w:rPr>
                    <w:rFonts w:ascii="宋体" w:hAnsi="宋体" w:cs="宋体" w:hint="eastAsia"/>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2D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56AE6A"/>
    <w:multiLevelType w:val="singleLevel"/>
    <w:tmpl w:val="E156AE6A"/>
    <w:lvl w:ilvl="0">
      <w:start w:val="2"/>
      <w:numFmt w:val="chineseCounting"/>
      <w:suff w:val="nothing"/>
      <w:lvlText w:val="%1、"/>
      <w:lvlJc w:val="left"/>
      <w:rPr>
        <w:rFonts w:hint="eastAsia"/>
      </w:rPr>
    </w:lvl>
  </w:abstractNum>
  <w:abstractNum w:abstractNumId="1">
    <w:nsid w:val="614AE9AA"/>
    <w:multiLevelType w:val="singleLevel"/>
    <w:tmpl w:val="614AE9AA"/>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D4BF7"/>
    <w:rsid w:val="00213CC6"/>
    <w:rsid w:val="00DD4BF7"/>
    <w:rsid w:val="00E82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F7"/>
    <w:pPr>
      <w:widowControl w:val="0"/>
      <w:jc w:val="both"/>
    </w:pPr>
    <w:rPr>
      <w:rFonts w:ascii="Calibri" w:eastAsia="宋体" w:hAnsi="Calibri" w:cs="Times New Roman"/>
      <w:szCs w:val="24"/>
    </w:rPr>
  </w:style>
  <w:style w:type="paragraph" w:styleId="1">
    <w:name w:val="heading 1"/>
    <w:basedOn w:val="a"/>
    <w:next w:val="a"/>
    <w:link w:val="1Char"/>
    <w:uiPriority w:val="9"/>
    <w:qFormat/>
    <w:rsid w:val="00DD4B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4BF7"/>
    <w:rPr>
      <w:rFonts w:ascii="Calibri" w:eastAsia="宋体" w:hAnsi="Calibri" w:cs="Times New Roman"/>
      <w:b/>
      <w:bCs/>
      <w:kern w:val="44"/>
      <w:sz w:val="44"/>
      <w:szCs w:val="44"/>
    </w:rPr>
  </w:style>
  <w:style w:type="paragraph" w:styleId="a3">
    <w:name w:val="footer"/>
    <w:basedOn w:val="a"/>
    <w:link w:val="Char"/>
    <w:uiPriority w:val="99"/>
    <w:unhideWhenUsed/>
    <w:qFormat/>
    <w:rsid w:val="00DD4BF7"/>
    <w:pPr>
      <w:tabs>
        <w:tab w:val="center" w:pos="4153"/>
        <w:tab w:val="right" w:pos="8306"/>
      </w:tabs>
      <w:snapToGrid w:val="0"/>
      <w:jc w:val="left"/>
    </w:pPr>
    <w:rPr>
      <w:sz w:val="18"/>
      <w:szCs w:val="18"/>
    </w:rPr>
  </w:style>
  <w:style w:type="character" w:customStyle="1" w:styleId="Char">
    <w:name w:val="页脚 Char"/>
    <w:basedOn w:val="a0"/>
    <w:link w:val="a3"/>
    <w:uiPriority w:val="99"/>
    <w:rsid w:val="00DD4BF7"/>
    <w:rPr>
      <w:rFonts w:ascii="Calibri" w:eastAsia="宋体" w:hAnsi="Calibri" w:cs="Times New Roman"/>
      <w:sz w:val="18"/>
      <w:szCs w:val="18"/>
    </w:rPr>
  </w:style>
  <w:style w:type="paragraph" w:styleId="a4">
    <w:name w:val="header"/>
    <w:basedOn w:val="a"/>
    <w:link w:val="Char0"/>
    <w:rsid w:val="00DD4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DD4BF7"/>
    <w:rPr>
      <w:rFonts w:ascii="Calibri" w:eastAsia="宋体" w:hAnsi="Calibri"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2021-11-15T07:48:00Z</dcterms:created>
  <dcterms:modified xsi:type="dcterms:W3CDTF">2021-11-15T07:49:00Z</dcterms:modified>
</cp:coreProperties>
</file>