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suppressLineNumbers w:val="0"/>
        <w:spacing w:before="0" w:beforeAutospacing="0" w:after="0" w:afterAutospacing="0" w:line="330" w:lineRule="atLeast"/>
        <w:ind w:left="0" w:right="0" w:firstLine="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13"/>
        <w:keepNext w:val="0"/>
        <w:keepLines w:val="0"/>
        <w:widowControl/>
        <w:suppressLineNumbers w:val="0"/>
        <w:spacing w:before="0" w:beforeAutospacing="0" w:after="0" w:afterAutospacing="0" w:line="330" w:lineRule="atLeast"/>
        <w:ind w:left="0" w:right="0" w:firstLine="0"/>
        <w:jc w:val="center"/>
        <w:rPr>
          <w:rFonts w:hint="eastAsia" w:ascii="方正小标宋简体" w:hAnsi="方正小标宋简体" w:eastAsia="方正小标宋简体" w:cs="方正小标宋简体"/>
          <w:sz w:val="44"/>
          <w:szCs w:val="44"/>
        </w:rPr>
      </w:pPr>
      <w:r>
        <w:rPr>
          <w:rFonts w:hint="eastAsia" w:ascii="Times New Roman" w:hAnsi="Times New Roman" w:eastAsia="方正小标宋简体" w:cs="Times New Roman"/>
          <w:sz w:val="44"/>
          <w:szCs w:val="44"/>
          <w:lang w:eastAsia="zh-CN"/>
        </w:rPr>
        <w:t>融安县</w:t>
      </w: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eastAsia" w:ascii="方正小标宋简体" w:hAnsi="方正小标宋简体" w:eastAsia="方正小标宋简体" w:cs="方正小标宋简体"/>
          <w:sz w:val="44"/>
          <w:szCs w:val="44"/>
        </w:rPr>
        <w:t>年政府工作主要目标任务分解表</w:t>
      </w:r>
    </w:p>
    <w:tbl>
      <w:tblPr>
        <w:tblStyle w:val="17"/>
        <w:tblpPr w:leftFromText="180" w:rightFromText="180" w:vertAnchor="text" w:horzAnchor="page" w:tblpX="1183" w:tblpY="201"/>
        <w:tblOverlap w:val="never"/>
        <w:tblW w:w="54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615"/>
        <w:gridCol w:w="7239"/>
        <w:gridCol w:w="1200"/>
        <w:gridCol w:w="1547"/>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blHeader/>
        </w:trPr>
        <w:tc>
          <w:tcPr>
            <w:tcW w:w="576"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color w:val="auto"/>
                <w:sz w:val="44"/>
                <w:szCs w:val="44"/>
                <w:vertAlign w:val="baseline"/>
              </w:rPr>
            </w:pPr>
            <w:r>
              <w:rPr>
                <w:rFonts w:hint="eastAsia" w:ascii="黑体" w:hAnsi="宋体" w:eastAsia="黑体" w:cs="黑体"/>
                <w:i w:val="0"/>
                <w:color w:val="auto"/>
                <w:kern w:val="0"/>
                <w:sz w:val="28"/>
                <w:szCs w:val="28"/>
                <w:u w:val="none"/>
                <w:lang w:val="en-US" w:eastAsia="zh-CN" w:bidi="ar"/>
              </w:rPr>
              <w:t>总体目标</w:t>
            </w:r>
          </w:p>
        </w:tc>
        <w:tc>
          <w:tcPr>
            <w:tcW w:w="2582"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color w:val="auto"/>
                <w:sz w:val="44"/>
                <w:szCs w:val="44"/>
                <w:vertAlign w:val="baseline"/>
              </w:rPr>
            </w:pPr>
            <w:r>
              <w:rPr>
                <w:rFonts w:hint="eastAsia" w:ascii="黑体" w:hAnsi="宋体" w:eastAsia="黑体" w:cs="黑体"/>
                <w:i w:val="0"/>
                <w:color w:val="auto"/>
                <w:kern w:val="0"/>
                <w:sz w:val="28"/>
                <w:szCs w:val="28"/>
                <w:u w:val="none"/>
                <w:lang w:val="en-US" w:eastAsia="zh-CN" w:bidi="ar"/>
              </w:rPr>
              <w:t>工作目标任务</w:t>
            </w:r>
          </w:p>
        </w:tc>
        <w:tc>
          <w:tcPr>
            <w:tcW w:w="428"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auto"/>
                <w:kern w:val="0"/>
                <w:sz w:val="28"/>
                <w:szCs w:val="28"/>
                <w:u w:val="none"/>
                <w:lang w:val="en-US" w:eastAsia="zh-CN" w:bidi="ar"/>
              </w:rPr>
            </w:pPr>
            <w:r>
              <w:rPr>
                <w:rFonts w:hint="eastAsia" w:ascii="黑体" w:hAnsi="宋体" w:eastAsia="黑体" w:cs="黑体"/>
                <w:i w:val="0"/>
                <w:color w:val="auto"/>
                <w:kern w:val="0"/>
                <w:sz w:val="28"/>
                <w:szCs w:val="28"/>
                <w:u w:val="none"/>
                <w:lang w:val="en-US" w:eastAsia="zh-CN" w:bidi="ar"/>
              </w:rPr>
              <w:t>分管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color w:val="auto"/>
                <w:sz w:val="44"/>
                <w:szCs w:val="44"/>
                <w:vertAlign w:val="baseline"/>
              </w:rPr>
            </w:pPr>
            <w:r>
              <w:rPr>
                <w:rFonts w:hint="eastAsia" w:ascii="黑体" w:hAnsi="宋体" w:eastAsia="黑体" w:cs="黑体"/>
                <w:i w:val="0"/>
                <w:color w:val="auto"/>
                <w:kern w:val="0"/>
                <w:sz w:val="28"/>
                <w:szCs w:val="28"/>
                <w:u w:val="none"/>
                <w:lang w:val="en-US" w:eastAsia="zh-CN" w:bidi="ar"/>
              </w:rPr>
              <w:t>县领导</w:t>
            </w:r>
          </w:p>
        </w:tc>
        <w:tc>
          <w:tcPr>
            <w:tcW w:w="551"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color w:val="auto"/>
                <w:sz w:val="44"/>
                <w:szCs w:val="44"/>
                <w:vertAlign w:val="baseline"/>
              </w:rPr>
            </w:pPr>
            <w:r>
              <w:rPr>
                <w:rFonts w:hint="eastAsia" w:ascii="黑体" w:hAnsi="宋体" w:eastAsia="黑体" w:cs="黑体"/>
                <w:i w:val="0"/>
                <w:color w:val="auto"/>
                <w:kern w:val="0"/>
                <w:sz w:val="28"/>
                <w:szCs w:val="28"/>
                <w:u w:val="none"/>
                <w:lang w:val="en-US" w:eastAsia="zh-CN" w:bidi="ar"/>
              </w:rPr>
              <w:t>牵头单位</w:t>
            </w:r>
          </w:p>
        </w:tc>
        <w:tc>
          <w:tcPr>
            <w:tcW w:w="862"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color w:val="auto"/>
                <w:sz w:val="44"/>
                <w:szCs w:val="44"/>
                <w:vertAlign w:val="baseline"/>
              </w:rPr>
            </w:pPr>
            <w:r>
              <w:rPr>
                <w:rFonts w:hint="eastAsia" w:ascii="黑体" w:hAnsi="宋体" w:eastAsia="黑体" w:cs="黑体"/>
                <w:i w:val="0"/>
                <w:color w:val="auto"/>
                <w:kern w:val="0"/>
                <w:sz w:val="28"/>
                <w:szCs w:val="28"/>
                <w:u w:val="none"/>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579" w:hRule="atLeast"/>
        </w:trPr>
        <w:tc>
          <w:tcPr>
            <w:tcW w:w="576" w:type="pct"/>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一</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聚焦工业升级，坚定不移推进新型工业化</w:t>
            </w: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default" w:ascii="Times New Roman" w:hAnsi="Times New Roman" w:cs="Times New Roman"/>
                <w:lang w:val="en-US" w:eastAsia="zh-CN"/>
              </w:rPr>
              <w:t>1</w:t>
            </w:r>
            <w:r>
              <w:rPr>
                <w:rFonts w:hint="eastAsia"/>
                <w:lang w:val="en-US" w:eastAsia="zh-CN"/>
              </w:rPr>
              <w:t>．</w:t>
            </w:r>
            <w:r>
              <w:rPr>
                <w:rFonts w:hint="eastAsia" w:ascii="仿宋_GB2312" w:hAnsi="仿宋_GB2312" w:eastAsia="仿宋_GB2312" w:cs="仿宋_GB2312"/>
                <w:sz w:val="24"/>
                <w:szCs w:val="24"/>
                <w:lang w:val="en-US" w:eastAsia="zh-CN"/>
              </w:rPr>
              <w:t>加快产业转型升级。加快按照“一区三园”总体发展思路，全力打造以木材加工产业为主导，特色食品加工、新能源、矿产品加工等为补充的产业体系。加快重点产业延链发展。聚焦主导产业延链补链，围绕竹木产品加工重点招引基材型企业</w:t>
            </w:r>
            <w:r>
              <w:rPr>
                <w:rFonts w:hint="default" w:ascii="Times New Roman" w:hAnsi="Times New Roman" w:eastAsia="黑体" w:cs="Times New Roman"/>
                <w:sz w:val="24"/>
                <w:szCs w:val="24"/>
                <w:lang w:val="en-US" w:eastAsia="zh-CN"/>
              </w:rPr>
              <w:t>3</w:t>
            </w:r>
            <w:r>
              <w:rPr>
                <w:rFonts w:hint="eastAsia" w:ascii="仿宋_GB2312" w:hAnsi="仿宋_GB2312" w:eastAsia="仿宋_GB2312" w:cs="仿宋_GB2312"/>
                <w:sz w:val="24"/>
                <w:szCs w:val="24"/>
                <w:lang w:val="en-US" w:eastAsia="zh-CN"/>
              </w:rPr>
              <w:t>家以上。积极筹建竹木交易市场。支持壮象、大森林、三友等企业拓市场抢订单。大力促进欧派、索菲亚等链主企业与本地竹木加工企业深度耦合，推动企业转型升级，力争实现规上产值</w:t>
            </w:r>
            <w:r>
              <w:rPr>
                <w:rFonts w:hint="default" w:ascii="Times New Roman" w:hAnsi="Times New Roman" w:eastAsia="仿宋_GB2312" w:cs="Times New Roman"/>
                <w:sz w:val="24"/>
                <w:szCs w:val="24"/>
                <w:lang w:val="en-US" w:eastAsia="zh-CN"/>
              </w:rPr>
              <w:t>40</w:t>
            </w:r>
            <w:r>
              <w:rPr>
                <w:rFonts w:hint="eastAsia" w:ascii="仿宋_GB2312" w:hAnsi="仿宋_GB2312" w:eastAsia="仿宋_GB2312" w:cs="仿宋_GB2312"/>
                <w:sz w:val="24"/>
                <w:szCs w:val="24"/>
                <w:lang w:val="en-US" w:eastAsia="zh-CN"/>
              </w:rPr>
              <w:t>亿元以上</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陈远昭</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县科技工贸和信息化局、</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县发展和改革局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县财政局、</w:t>
            </w:r>
            <w:r>
              <w:rPr>
                <w:rFonts w:hint="eastAsia" w:ascii="仿宋_GB2312" w:hAnsi="仿宋_GB2312" w:eastAsia="仿宋_GB2312" w:cs="仿宋_GB2312"/>
                <w:color w:val="auto"/>
                <w:spacing w:val="0"/>
                <w:sz w:val="24"/>
                <w:szCs w:val="24"/>
                <w:vertAlign w:val="baseline"/>
                <w:lang w:val="en-US" w:eastAsia="zh-CN"/>
              </w:rPr>
              <w:t>县自然资源和规划局、</w:t>
            </w:r>
            <w:r>
              <w:rPr>
                <w:rFonts w:hint="eastAsia" w:ascii="仿宋_GB2312" w:hAnsi="仿宋_GB2312" w:eastAsia="仿宋_GB2312" w:cs="仿宋_GB2312"/>
                <w:color w:val="auto"/>
                <w:sz w:val="24"/>
                <w:szCs w:val="24"/>
                <w:vertAlign w:val="baseline"/>
                <w:lang w:val="en-US" w:eastAsia="zh-CN"/>
              </w:rPr>
              <w:t>县农业农村局、县林业局</w:t>
            </w:r>
            <w:r>
              <w:rPr>
                <w:rFonts w:hint="eastAsia" w:ascii="仿宋_GB2312" w:hAnsi="仿宋_GB2312" w:eastAsia="仿宋_GB2312" w:cs="仿宋_GB2312"/>
                <w:color w:val="auto"/>
                <w:spacing w:val="11"/>
                <w:sz w:val="24"/>
                <w:szCs w:val="24"/>
                <w:vertAlign w:val="baseline"/>
                <w:lang w:val="en-US" w:eastAsia="zh-CN"/>
              </w:rPr>
              <w:t>、</w:t>
            </w:r>
            <w:r>
              <w:rPr>
                <w:rFonts w:hint="eastAsia" w:ascii="仿宋_GB2312" w:hAnsi="仿宋_GB2312" w:eastAsia="仿宋_GB2312" w:cs="仿宋_GB2312"/>
                <w:color w:val="auto"/>
                <w:sz w:val="24"/>
                <w:szCs w:val="24"/>
                <w:vertAlign w:val="baseline"/>
                <w:lang w:val="en-US" w:eastAsia="zh-CN"/>
              </w:rPr>
              <w:t>融安生态环境局、</w:t>
            </w:r>
            <w:r>
              <w:rPr>
                <w:rFonts w:hint="eastAsia" w:ascii="仿宋_GB2312" w:hAnsi="仿宋_GB2312" w:eastAsia="仿宋_GB2312" w:cs="仿宋_GB2312"/>
                <w:color w:val="auto"/>
                <w:spacing w:val="11"/>
                <w:sz w:val="24"/>
                <w:szCs w:val="24"/>
                <w:vertAlign w:val="baseline"/>
                <w:lang w:val="en-US" w:eastAsia="zh-CN"/>
              </w:rPr>
              <w:t>县投资促进中心、</w:t>
            </w:r>
            <w:r>
              <w:rPr>
                <w:rFonts w:hint="eastAsia" w:ascii="仿宋_GB2312" w:hAnsi="仿宋_GB2312" w:eastAsia="仿宋_GB2312" w:cs="仿宋_GB2312"/>
                <w:color w:val="auto"/>
                <w:sz w:val="24"/>
                <w:szCs w:val="24"/>
                <w:vertAlign w:val="baseline"/>
                <w:lang w:val="en-US" w:eastAsia="zh-CN"/>
              </w:rPr>
              <w:t>县工业集中区管理委员会服务中心、</w:t>
            </w:r>
            <w:r>
              <w:rPr>
                <w:rFonts w:hint="eastAsia" w:ascii="仿宋_GB2312" w:hAnsi="仿宋_GB2312" w:eastAsia="仿宋_GB2312" w:cs="仿宋_GB2312"/>
                <w:color w:val="auto"/>
                <w:spacing w:val="11"/>
                <w:sz w:val="24"/>
                <w:szCs w:val="24"/>
                <w:vertAlign w:val="baseline"/>
                <w:lang w:val="en-US" w:eastAsia="zh-CN"/>
              </w:rPr>
              <w:t>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250" w:hRule="atLeast"/>
        </w:trPr>
        <w:tc>
          <w:tcPr>
            <w:tcW w:w="57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w:t>
            </w:r>
            <w:r>
              <w:rPr>
                <w:rFonts w:hint="eastAsia" w:ascii="仿宋_GB2312" w:hAnsi="仿宋_GB2312" w:eastAsia="仿宋_GB2312" w:cs="仿宋_GB2312"/>
                <w:color w:val="auto"/>
                <w:sz w:val="24"/>
                <w:szCs w:val="24"/>
                <w:vertAlign w:val="baseline"/>
                <w:lang w:val="en-US" w:eastAsia="zh-CN"/>
              </w:rPr>
              <w:t>．加快推动能源和特色产业发展。全力推动睿智环保、鱼峰水泥、康恒新能源释放产能。开展风、光能源深度普查及规划动态调整，绘制风光资源开发利用“一张图”。完善“风电+光伏+储能”产业链闭环，加快推动布局“风、光、页岩气”等多能互补新能源赛道，全力推动中核汇能、嘉泽</w:t>
            </w:r>
            <w:r>
              <w:rPr>
                <w:rFonts w:hint="default" w:ascii="Times New Roman" w:hAnsi="Times New Roman" w:eastAsia="仿宋_GB2312" w:cs="Times New Roman"/>
                <w:color w:val="auto"/>
                <w:sz w:val="24"/>
                <w:szCs w:val="24"/>
                <w:vertAlign w:val="baseline"/>
                <w:lang w:val="en-US" w:eastAsia="zh-CN"/>
              </w:rPr>
              <w:t>138</w:t>
            </w:r>
            <w:r>
              <w:rPr>
                <w:rFonts w:hint="eastAsia" w:ascii="仿宋_GB2312" w:hAnsi="仿宋_GB2312" w:eastAsia="仿宋_GB2312" w:cs="仿宋_GB2312"/>
                <w:color w:val="auto"/>
                <w:sz w:val="24"/>
                <w:szCs w:val="24"/>
                <w:vertAlign w:val="baseline"/>
                <w:lang w:val="en-US" w:eastAsia="zh-CN"/>
              </w:rPr>
              <w:t>万千伏风电项目尽早落地开工建设。加强与行业头部企业对接，补齐组装测试、循环利用等关键环节，引进新能源设备制造、维护、研发等企业</w:t>
            </w:r>
            <w:r>
              <w:rPr>
                <w:rFonts w:hint="default" w:ascii="Times New Roman" w:hAnsi="Times New Roman" w:eastAsia="仿宋_GB2312" w:cs="Times New Roman"/>
                <w:color w:val="auto"/>
                <w:sz w:val="24"/>
                <w:szCs w:val="24"/>
                <w:vertAlign w:val="baseline"/>
                <w:lang w:val="en-US" w:eastAsia="zh-CN"/>
              </w:rPr>
              <w:t>1</w:t>
            </w:r>
            <w:r>
              <w:rPr>
                <w:rFonts w:hint="eastAsia" w:ascii="仿宋_GB2312" w:hAnsi="仿宋_GB2312" w:eastAsia="仿宋_GB2312" w:cs="仿宋_GB2312"/>
                <w:color w:val="auto"/>
                <w:sz w:val="24"/>
                <w:szCs w:val="24"/>
                <w:vertAlign w:val="baseline"/>
                <w:lang w:val="en-US" w:eastAsia="zh-CN"/>
              </w:rPr>
              <w:t>家以上，力争全年新能源产业产值突破</w:t>
            </w:r>
            <w:r>
              <w:rPr>
                <w:rFonts w:hint="default" w:ascii="Times New Roman" w:hAnsi="Times New Roman" w:eastAsia="仿宋_GB2312" w:cs="Times New Roman"/>
                <w:color w:val="auto"/>
                <w:sz w:val="24"/>
                <w:szCs w:val="24"/>
                <w:vertAlign w:val="baseline"/>
                <w:lang w:val="en-US" w:eastAsia="zh-CN"/>
              </w:rPr>
              <w:t>8</w:t>
            </w:r>
            <w:r>
              <w:rPr>
                <w:rFonts w:hint="eastAsia" w:ascii="仿宋_GB2312" w:hAnsi="仿宋_GB2312" w:eastAsia="仿宋_GB2312" w:cs="仿宋_GB2312"/>
                <w:color w:val="auto"/>
                <w:sz w:val="24"/>
                <w:szCs w:val="24"/>
                <w:vertAlign w:val="baseline"/>
                <w:lang w:val="en-US" w:eastAsia="zh-CN"/>
              </w:rPr>
              <w:t>亿元。依托中草药资源优势，培育特色生物医药产业集群，支持药品和医用耗材本地化替代</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莫慧明</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县发展和改革局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县科技工贸和信息化局、</w:t>
            </w:r>
            <w:r>
              <w:rPr>
                <w:rFonts w:hint="eastAsia" w:ascii="仿宋_GB2312" w:hAnsi="仿宋_GB2312" w:eastAsia="仿宋_GB2312" w:cs="仿宋_GB2312"/>
                <w:color w:val="auto"/>
                <w:spacing w:val="0"/>
                <w:sz w:val="24"/>
                <w:szCs w:val="24"/>
                <w:vertAlign w:val="baseline"/>
                <w:lang w:val="en-US" w:eastAsia="zh-CN"/>
              </w:rPr>
              <w:t>县自然资源和规划局、</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县农业农村局、县水利局、县林业局、县行政审批局、融安生态环境局、</w:t>
            </w:r>
            <w:r>
              <w:rPr>
                <w:rFonts w:hint="eastAsia" w:ascii="仿宋_GB2312" w:hAnsi="仿宋_GB2312" w:eastAsia="仿宋_GB2312" w:cs="仿宋_GB2312"/>
                <w:color w:val="auto"/>
                <w:spacing w:val="11"/>
                <w:sz w:val="24"/>
                <w:szCs w:val="24"/>
                <w:vertAlign w:val="baseline"/>
                <w:lang w:val="en-US" w:eastAsia="zh-CN"/>
              </w:rPr>
              <w:t>县投资促进中心、</w:t>
            </w:r>
            <w:r>
              <w:rPr>
                <w:rFonts w:hint="eastAsia" w:ascii="仿宋_GB2312" w:hAnsi="仿宋_GB2312" w:eastAsia="仿宋_GB2312" w:cs="仿宋_GB2312"/>
                <w:color w:val="auto"/>
                <w:spacing w:val="-6"/>
                <w:sz w:val="24"/>
                <w:szCs w:val="24"/>
                <w:vertAlign w:val="baseline"/>
                <w:lang w:val="en-US" w:eastAsia="zh-CN"/>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1458" w:hRule="atLeast"/>
        </w:trPr>
        <w:tc>
          <w:tcPr>
            <w:tcW w:w="576" w:type="pct"/>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一</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聚焦工业升级，坚定不移推进新型工业化</w:t>
            </w: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w:t>
            </w:r>
            <w:r>
              <w:rPr>
                <w:rFonts w:hint="eastAsia" w:ascii="仿宋_GB2312" w:hAnsi="仿宋_GB2312" w:eastAsia="仿宋_GB2312" w:cs="仿宋_GB2312"/>
                <w:color w:val="auto"/>
                <w:sz w:val="24"/>
                <w:szCs w:val="24"/>
                <w:vertAlign w:val="baseline"/>
                <w:lang w:val="en-US" w:eastAsia="zh-CN"/>
              </w:rPr>
              <w:t>．企业服务与支持。落实稳岗就业政策，发放稳岗就业补贴</w:t>
            </w:r>
            <w:r>
              <w:rPr>
                <w:rFonts w:hint="default" w:ascii="Times New Roman" w:hAnsi="Times New Roman" w:eastAsia="仿宋_GB2312" w:cs="Times New Roman"/>
                <w:color w:val="auto"/>
                <w:sz w:val="24"/>
                <w:szCs w:val="24"/>
                <w:vertAlign w:val="baseline"/>
                <w:lang w:val="en-US" w:eastAsia="zh-CN"/>
              </w:rPr>
              <w:t>800</w:t>
            </w:r>
            <w:r>
              <w:rPr>
                <w:rFonts w:hint="eastAsia" w:ascii="仿宋_GB2312" w:hAnsi="仿宋_GB2312" w:eastAsia="仿宋_GB2312" w:cs="仿宋_GB2312"/>
                <w:color w:val="auto"/>
                <w:sz w:val="24"/>
                <w:szCs w:val="24"/>
                <w:vertAlign w:val="baseline"/>
                <w:lang w:val="en-US" w:eastAsia="zh-CN"/>
              </w:rPr>
              <w:t>万元以上，破解企业用工难问题。持续开展校企产学研合作，推动科技成果转化</w:t>
            </w:r>
            <w:r>
              <w:rPr>
                <w:rFonts w:hint="default" w:ascii="Times New Roman" w:hAnsi="Times New Roman" w:eastAsia="仿宋_GB2312" w:cs="Times New Roman"/>
                <w:color w:val="auto"/>
                <w:sz w:val="24"/>
                <w:szCs w:val="24"/>
                <w:vertAlign w:val="baseline"/>
                <w:lang w:val="en-US" w:eastAsia="zh-CN"/>
              </w:rPr>
              <w:t>1</w:t>
            </w:r>
            <w:r>
              <w:rPr>
                <w:rFonts w:hint="eastAsia" w:ascii="仿宋_GB2312" w:hAnsi="仿宋_GB2312" w:eastAsia="仿宋_GB2312" w:cs="仿宋_GB2312"/>
                <w:color w:val="auto"/>
                <w:sz w:val="24"/>
                <w:szCs w:val="24"/>
                <w:vertAlign w:val="baseline"/>
                <w:lang w:val="en-US" w:eastAsia="zh-CN"/>
              </w:rPr>
              <w:t>件以上</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莫慧明</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县人力资源和社会保障局、</w:t>
            </w:r>
            <w:r>
              <w:rPr>
                <w:rFonts w:hint="eastAsia" w:ascii="仿宋_GB2312" w:hAnsi="仿宋_GB2312" w:eastAsia="仿宋_GB2312" w:cs="仿宋_GB2312"/>
                <w:color w:val="000000" w:themeColor="text1"/>
                <w:spacing w:val="-11"/>
                <w:sz w:val="24"/>
                <w:szCs w:val="24"/>
                <w:vertAlign w:val="baseline"/>
                <w:lang w:val="en-US" w:eastAsia="zh-CN"/>
                <w14:textFill>
                  <w14:solidFill>
                    <w14:schemeClr w14:val="tx1"/>
                  </w14:solidFill>
                </w14:textFill>
              </w:rPr>
              <w:t>县科技工贸和信息化局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县财政局</w:t>
            </w:r>
            <w:r>
              <w:rPr>
                <w:rFonts w:hint="eastAsia" w:ascii="仿宋_GB2312" w:hAnsi="仿宋_GB2312" w:eastAsia="仿宋_GB2312" w:cs="仿宋_GB2312"/>
                <w:color w:val="auto"/>
                <w:sz w:val="24"/>
                <w:szCs w:val="24"/>
                <w:lang w:val="en-US" w:eastAsia="zh-CN"/>
              </w:rPr>
              <w:t>、县工业集中区管理委员会服务中心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979" w:hRule="atLeast"/>
        </w:trPr>
        <w:tc>
          <w:tcPr>
            <w:tcW w:w="57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4</w:t>
            </w:r>
            <w:r>
              <w:rPr>
                <w:rFonts w:hint="eastAsia" w:ascii="仿宋_GB2312" w:hAnsi="仿宋_GB2312" w:eastAsia="仿宋_GB2312" w:cs="仿宋_GB2312"/>
                <w:color w:val="auto"/>
                <w:sz w:val="24"/>
                <w:szCs w:val="24"/>
                <w:vertAlign w:val="baseline"/>
                <w:lang w:val="en-US" w:eastAsia="zh-CN"/>
              </w:rPr>
              <w:t>．深化园区改革。加快完善园区基础设施，着力补齐园区基础和服务配套短板，推动产业要素和服务要素向园区聚集发展。结合上级政策投向，谋划园区配套设施项目</w:t>
            </w:r>
            <w:r>
              <w:rPr>
                <w:rFonts w:hint="default" w:ascii="Times New Roman" w:hAnsi="Times New Roman" w:eastAsia="仿宋_GB2312" w:cs="Times New Roman"/>
                <w:color w:val="auto"/>
                <w:sz w:val="24"/>
                <w:szCs w:val="24"/>
                <w:vertAlign w:val="baseline"/>
                <w:lang w:val="en-US" w:eastAsia="zh-CN"/>
              </w:rPr>
              <w:t>2</w:t>
            </w:r>
            <w:r>
              <w:rPr>
                <w:rFonts w:hint="eastAsia" w:ascii="仿宋_GB2312" w:hAnsi="仿宋_GB2312" w:eastAsia="仿宋_GB2312" w:cs="仿宋_GB2312"/>
                <w:color w:val="auto"/>
                <w:sz w:val="24"/>
                <w:szCs w:val="24"/>
                <w:vertAlign w:val="baseline"/>
                <w:lang w:val="en-US" w:eastAsia="zh-CN"/>
              </w:rPr>
              <w:t>个以上。加大低效用地、闲置厂房处置力度，实现亩均效益评价全覆盖</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陈远昭</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县工业集中区管理委员会服务中心</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县发展和改革局、县科技工贸和信息化局、县自然资源和规划局、县农业农村局、县林业局、县征地拆迁和房屋征收补偿服</w:t>
            </w:r>
            <w:r>
              <w:rPr>
                <w:rFonts w:hint="eastAsia" w:ascii="仿宋_GB2312" w:hAnsi="仿宋_GB2312" w:eastAsia="仿宋_GB2312" w:cs="仿宋_GB2312"/>
                <w:color w:val="auto"/>
                <w:spacing w:val="-6"/>
                <w:sz w:val="24"/>
                <w:szCs w:val="24"/>
                <w:vertAlign w:val="baseline"/>
                <w:lang w:val="en-US" w:eastAsia="zh-CN"/>
              </w:rPr>
              <w:t>务中心、长安镇人民政府、浮石镇人民政府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745" w:hRule="atLeast"/>
        </w:trPr>
        <w:tc>
          <w:tcPr>
            <w:tcW w:w="57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lang w:val="en-US" w:eastAsia="zh-CN"/>
              </w:rPr>
            </w:pPr>
            <w:r>
              <w:rPr>
                <w:rFonts w:hint="default" w:ascii="Times New Roman" w:hAnsi="Times New Roman" w:eastAsia="仿宋_GB2312" w:cs="Times New Roman"/>
                <w:color w:val="auto"/>
                <w:sz w:val="24"/>
                <w:szCs w:val="24"/>
                <w:vertAlign w:val="baseline"/>
                <w:lang w:val="en-US" w:eastAsia="zh-CN"/>
              </w:rPr>
              <w:t>5</w:t>
            </w:r>
            <w:r>
              <w:rPr>
                <w:rFonts w:hint="eastAsia" w:ascii="仿宋_GB2312" w:hAnsi="仿宋_GB2312" w:eastAsia="仿宋_GB2312" w:cs="仿宋_GB2312"/>
                <w:color w:val="auto"/>
                <w:sz w:val="24"/>
                <w:szCs w:val="24"/>
                <w:vertAlign w:val="baseline"/>
                <w:lang w:val="en-US" w:eastAsia="zh-CN"/>
              </w:rPr>
              <w:t>．提升招商成效。落实“一把手”责任，健全产业链“攻坚组”工作体系。坚持用市场逻辑、平台思维谋划精准招引，深入开展园区招商、委托招商、驻外招商、资源招商，提升招商质效。围绕主导产业，招引一批产业链关键环节、上下游企业，力争</w:t>
            </w:r>
            <w:r>
              <w:rPr>
                <w:rFonts w:hint="default" w:ascii="Times New Roman" w:hAnsi="Times New Roman" w:eastAsia="仿宋_GB2312" w:cs="Times New Roman"/>
                <w:color w:val="auto"/>
                <w:sz w:val="24"/>
                <w:szCs w:val="24"/>
                <w:vertAlign w:val="baseline"/>
                <w:lang w:val="en-US" w:eastAsia="zh-CN"/>
              </w:rPr>
              <w:t>2025</w:t>
            </w:r>
            <w:r>
              <w:rPr>
                <w:rFonts w:hint="eastAsia" w:ascii="仿宋_GB2312" w:hAnsi="仿宋_GB2312" w:eastAsia="仿宋_GB2312" w:cs="仿宋_GB2312"/>
                <w:color w:val="auto"/>
                <w:sz w:val="24"/>
                <w:szCs w:val="24"/>
                <w:vertAlign w:val="baseline"/>
                <w:lang w:val="en-US" w:eastAsia="zh-CN"/>
              </w:rPr>
              <w:t>年新引进固投亿元以上项目</w:t>
            </w:r>
            <w:r>
              <w:rPr>
                <w:rFonts w:hint="default" w:ascii="Times New Roman" w:hAnsi="Times New Roman" w:eastAsia="仿宋_GB2312" w:cs="Times New Roman"/>
                <w:color w:val="auto"/>
                <w:sz w:val="24"/>
                <w:szCs w:val="24"/>
                <w:vertAlign w:val="baseline"/>
                <w:lang w:val="en-US" w:eastAsia="zh-CN"/>
              </w:rPr>
              <w:t>3</w:t>
            </w:r>
            <w:r>
              <w:rPr>
                <w:rFonts w:hint="eastAsia" w:ascii="仿宋_GB2312" w:hAnsi="仿宋_GB2312" w:eastAsia="仿宋_GB2312" w:cs="仿宋_GB2312"/>
                <w:color w:val="auto"/>
                <w:sz w:val="24"/>
                <w:szCs w:val="24"/>
                <w:vertAlign w:val="baseline"/>
                <w:lang w:val="en-US" w:eastAsia="zh-CN"/>
              </w:rPr>
              <w:t>个，新开工亿元以上项目</w:t>
            </w:r>
            <w:r>
              <w:rPr>
                <w:rFonts w:hint="default" w:ascii="Times New Roman" w:hAnsi="Times New Roman" w:eastAsia="仿宋_GB2312" w:cs="Times New Roman"/>
                <w:color w:val="auto"/>
                <w:sz w:val="24"/>
                <w:szCs w:val="24"/>
                <w:vertAlign w:val="baseline"/>
                <w:lang w:val="en-US" w:eastAsia="zh-CN"/>
              </w:rPr>
              <w:t>2</w:t>
            </w:r>
            <w:r>
              <w:rPr>
                <w:rFonts w:hint="eastAsia" w:ascii="仿宋_GB2312" w:hAnsi="仿宋_GB2312" w:eastAsia="仿宋_GB2312" w:cs="仿宋_GB2312"/>
                <w:color w:val="auto"/>
                <w:sz w:val="24"/>
                <w:szCs w:val="24"/>
                <w:vertAlign w:val="baseline"/>
                <w:lang w:val="en-US" w:eastAsia="zh-CN"/>
              </w:rPr>
              <w:t>个、项目投资完成额</w:t>
            </w:r>
            <w:r>
              <w:rPr>
                <w:rFonts w:hint="default" w:ascii="Times New Roman" w:hAnsi="Times New Roman" w:eastAsia="仿宋_GB2312" w:cs="Times New Roman"/>
                <w:color w:val="auto"/>
                <w:sz w:val="24"/>
                <w:szCs w:val="24"/>
                <w:vertAlign w:val="baseline"/>
                <w:lang w:val="en-US" w:eastAsia="zh-CN"/>
              </w:rPr>
              <w:t>10</w:t>
            </w:r>
            <w:r>
              <w:rPr>
                <w:rFonts w:hint="eastAsia" w:ascii="仿宋_GB2312" w:hAnsi="仿宋_GB2312" w:eastAsia="仿宋_GB2312" w:cs="仿宋_GB2312"/>
                <w:color w:val="auto"/>
                <w:sz w:val="24"/>
                <w:szCs w:val="24"/>
                <w:vertAlign w:val="baseline"/>
                <w:lang w:val="en-US" w:eastAsia="zh-CN"/>
              </w:rPr>
              <w:t>亿元，争取落地项目与主导产业契合度达</w:t>
            </w:r>
            <w:r>
              <w:rPr>
                <w:rFonts w:hint="default" w:ascii="Times New Roman" w:hAnsi="Times New Roman" w:eastAsia="仿宋_GB2312" w:cs="Times New Roman"/>
                <w:color w:val="auto"/>
                <w:sz w:val="24"/>
                <w:szCs w:val="24"/>
                <w:vertAlign w:val="baseline"/>
                <w:lang w:val="en-US" w:eastAsia="zh-CN"/>
              </w:rPr>
              <w:t>70%</w:t>
            </w:r>
            <w:r>
              <w:rPr>
                <w:rFonts w:hint="eastAsia" w:ascii="仿宋_GB2312" w:hAnsi="仿宋_GB2312" w:eastAsia="仿宋_GB2312" w:cs="仿宋_GB2312"/>
                <w:color w:val="auto"/>
                <w:sz w:val="24"/>
                <w:szCs w:val="24"/>
                <w:vertAlign w:val="baseline"/>
                <w:lang w:val="en-US" w:eastAsia="zh-CN"/>
              </w:rPr>
              <w:t>以上</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陈远昭</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县投资促进中心</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color w:val="auto"/>
                <w:lang w:val="en-US" w:eastAsia="zh-CN"/>
              </w:rPr>
            </w:pPr>
            <w:r>
              <w:rPr>
                <w:rFonts w:hint="eastAsia" w:ascii="仿宋_GB2312" w:hAnsi="仿宋_GB2312" w:eastAsia="仿宋_GB2312" w:cs="仿宋_GB2312"/>
                <w:color w:val="auto"/>
                <w:sz w:val="24"/>
                <w:szCs w:val="24"/>
                <w:lang w:val="en-US" w:eastAsia="zh-CN"/>
              </w:rPr>
              <w:t>县财政局、县发展和改革局、县科技工贸和信息化局、县自然资源和规划局、县农业农村局、县文化体育广电和旅游局、县林业局、县行政审批局、县工业集中区管理委员会服务中心、</w:t>
            </w:r>
            <w:r>
              <w:rPr>
                <w:rFonts w:hint="eastAsia" w:ascii="仿宋_GB2312" w:hAnsi="仿宋_GB2312" w:eastAsia="仿宋_GB2312" w:cs="仿宋_GB2312"/>
                <w:color w:val="auto"/>
                <w:sz w:val="24"/>
                <w:szCs w:val="24"/>
                <w:vertAlign w:val="baseline"/>
                <w:lang w:val="en-US" w:eastAsia="zh-CN"/>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072" w:hRule="atLeast"/>
        </w:trPr>
        <w:tc>
          <w:tcPr>
            <w:tcW w:w="576" w:type="pct"/>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二</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聚焦重点任务，不遗余力推进农业现代化</w:t>
            </w: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6</w:t>
            </w:r>
            <w:r>
              <w:rPr>
                <w:rFonts w:hint="eastAsia" w:ascii="仿宋_GB2312" w:hAnsi="仿宋_GB2312" w:eastAsia="仿宋_GB2312" w:cs="仿宋_GB2312"/>
                <w:color w:val="auto"/>
                <w:sz w:val="24"/>
                <w:szCs w:val="24"/>
                <w:vertAlign w:val="baseline"/>
                <w:lang w:val="en-US" w:eastAsia="zh-CN"/>
              </w:rPr>
              <w:t>．守牢粮食安全和耕地保护底线。全面压实粮食生产责任，重塑重农抓粮体系，持续推进优质粮食工程。守牢水资源利用上限、粮食安全底线、耕地保护红线，扎实开展撂荒地和耕地流出违法整治，坚决遏制耕地“非农化”“非粮化”，年内完成粮食播种面积</w:t>
            </w:r>
            <w:r>
              <w:rPr>
                <w:rFonts w:hint="default" w:ascii="Times New Roman" w:hAnsi="Times New Roman" w:eastAsia="仿宋_GB2312" w:cs="Times New Roman"/>
                <w:color w:val="auto"/>
                <w:sz w:val="24"/>
                <w:szCs w:val="24"/>
                <w:vertAlign w:val="baseline"/>
                <w:lang w:val="en-US" w:eastAsia="zh-CN"/>
              </w:rPr>
              <w:t>27</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04</w:t>
            </w:r>
            <w:r>
              <w:rPr>
                <w:rFonts w:hint="eastAsia" w:ascii="仿宋_GB2312" w:hAnsi="仿宋_GB2312" w:eastAsia="仿宋_GB2312" w:cs="仿宋_GB2312"/>
                <w:color w:val="auto"/>
                <w:sz w:val="24"/>
                <w:szCs w:val="24"/>
                <w:vertAlign w:val="baseline"/>
                <w:lang w:val="en-US" w:eastAsia="zh-CN"/>
              </w:rPr>
              <w:t>万亩，产量</w:t>
            </w:r>
            <w:r>
              <w:rPr>
                <w:rFonts w:hint="default" w:ascii="Times New Roman" w:hAnsi="Times New Roman" w:eastAsia="仿宋_GB2312" w:cs="Times New Roman"/>
                <w:color w:val="auto"/>
                <w:sz w:val="24"/>
                <w:szCs w:val="24"/>
                <w:vertAlign w:val="baseline"/>
                <w:lang w:val="en-US" w:eastAsia="zh-CN"/>
              </w:rPr>
              <w:t>8</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99</w:t>
            </w:r>
            <w:r>
              <w:rPr>
                <w:rFonts w:hint="eastAsia" w:ascii="仿宋_GB2312" w:hAnsi="仿宋_GB2312" w:eastAsia="仿宋_GB2312" w:cs="仿宋_GB2312"/>
                <w:color w:val="auto"/>
                <w:sz w:val="24"/>
                <w:szCs w:val="24"/>
                <w:vertAlign w:val="baseline"/>
                <w:lang w:val="en-US" w:eastAsia="zh-CN"/>
              </w:rPr>
              <w:t>万吨。树立大农业观，补齐农业基础设施短板，一体推进农、林、水等设施配套，新建高标准农田</w:t>
            </w:r>
            <w:r>
              <w:rPr>
                <w:rFonts w:hint="default" w:ascii="Times New Roman" w:hAnsi="Times New Roman" w:eastAsia="仿宋_GB2312" w:cs="Times New Roman"/>
                <w:color w:val="auto"/>
                <w:sz w:val="24"/>
                <w:szCs w:val="24"/>
                <w:vertAlign w:val="baseline"/>
                <w:lang w:val="en-US" w:eastAsia="zh-CN"/>
              </w:rPr>
              <w:t>0</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65</w:t>
            </w:r>
            <w:r>
              <w:rPr>
                <w:rFonts w:hint="eastAsia" w:ascii="仿宋_GB2312" w:hAnsi="仿宋_GB2312" w:eastAsia="仿宋_GB2312" w:cs="仿宋_GB2312"/>
                <w:color w:val="auto"/>
                <w:sz w:val="24"/>
                <w:szCs w:val="24"/>
                <w:vertAlign w:val="baseline"/>
                <w:lang w:val="en-US" w:eastAsia="zh-CN"/>
              </w:rPr>
              <w:t>万亩，完成新造林面积</w:t>
            </w:r>
            <w:r>
              <w:rPr>
                <w:rFonts w:hint="default" w:ascii="Times New Roman" w:hAnsi="Times New Roman" w:eastAsia="仿宋_GB2312" w:cs="Times New Roman"/>
                <w:color w:val="auto"/>
                <w:sz w:val="24"/>
                <w:szCs w:val="24"/>
                <w:vertAlign w:val="baseline"/>
                <w:lang w:val="en-US" w:eastAsia="zh-CN"/>
              </w:rPr>
              <w:t>4</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5</w:t>
            </w:r>
            <w:r>
              <w:rPr>
                <w:rFonts w:hint="eastAsia" w:ascii="仿宋_GB2312" w:hAnsi="仿宋_GB2312" w:eastAsia="仿宋_GB2312" w:cs="仿宋_GB2312"/>
                <w:color w:val="auto"/>
                <w:sz w:val="24"/>
                <w:szCs w:val="24"/>
                <w:vertAlign w:val="baseline"/>
                <w:lang w:val="en-US" w:eastAsia="zh-CN"/>
              </w:rPr>
              <w:t>万亩，修复灌溉渠道</w:t>
            </w:r>
            <w:r>
              <w:rPr>
                <w:rFonts w:hint="default" w:ascii="Times New Roman" w:hAnsi="Times New Roman" w:eastAsia="仿宋_GB2312" w:cs="Times New Roman"/>
                <w:color w:val="auto"/>
                <w:sz w:val="24"/>
                <w:szCs w:val="24"/>
                <w:vertAlign w:val="baseline"/>
                <w:lang w:val="en-US" w:eastAsia="zh-CN"/>
              </w:rPr>
              <w:t>30</w:t>
            </w:r>
            <w:r>
              <w:rPr>
                <w:rFonts w:hint="eastAsia" w:ascii="仿宋_GB2312" w:hAnsi="仿宋_GB2312" w:eastAsia="仿宋_GB2312" w:cs="仿宋_GB2312"/>
                <w:color w:val="auto"/>
                <w:sz w:val="24"/>
                <w:szCs w:val="24"/>
                <w:vertAlign w:val="baseline"/>
                <w:lang w:val="en-US" w:eastAsia="zh-CN"/>
              </w:rPr>
              <w:t>公里。保持农村土地承包关系长久稳定，全面铺开第二轮土地承包到期后再延长三十年试点工作</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莫慧明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廖鹏翔</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县发展和改革局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县财政局、县自然资源和规划局、</w:t>
            </w:r>
            <w:r>
              <w:rPr>
                <w:rFonts w:hint="eastAsia" w:ascii="仿宋_GB2312" w:hAnsi="仿宋_GB2312" w:eastAsia="仿宋_GB2312" w:cs="仿宋_GB2312"/>
                <w:color w:val="auto"/>
                <w:spacing w:val="-11"/>
                <w:sz w:val="24"/>
                <w:szCs w:val="24"/>
                <w:vertAlign w:val="baseline"/>
                <w:lang w:val="en-US" w:eastAsia="zh-CN"/>
              </w:rPr>
              <w:t>县农业农村局、</w:t>
            </w:r>
            <w:r>
              <w:rPr>
                <w:rFonts w:hint="eastAsia" w:ascii="仿宋_GB2312" w:hAnsi="仿宋_GB2312" w:eastAsia="仿宋_GB2312" w:cs="仿宋_GB2312"/>
                <w:color w:val="auto"/>
                <w:sz w:val="24"/>
                <w:szCs w:val="24"/>
                <w:vertAlign w:val="baseline"/>
                <w:lang w:val="en-US" w:eastAsia="zh-CN"/>
              </w:rPr>
              <w:t>县水利局、县林业局、县综合行政执法局、县供销合作社联合社、各乡（镇）人民政府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772" w:hRule="atLeast"/>
        </w:trPr>
        <w:tc>
          <w:tcPr>
            <w:tcW w:w="57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7</w:t>
            </w:r>
            <w:r>
              <w:rPr>
                <w:rFonts w:hint="eastAsia" w:ascii="仿宋_GB2312" w:hAnsi="仿宋_GB2312" w:eastAsia="仿宋_GB2312" w:cs="仿宋_GB2312"/>
                <w:color w:val="auto"/>
                <w:sz w:val="24"/>
                <w:szCs w:val="24"/>
                <w:vertAlign w:val="baseline"/>
                <w:lang w:val="en-US" w:eastAsia="zh-CN"/>
              </w:rPr>
              <w:t>．聚焦特色优势、品牌品质、延链补链，全面做好“土特产”文章。实施融安金桔品控标准化提升行动，建立健全涵盖育种、生产到采后加工等多环节的管理机制，筹建和完善金桔种质资源圃。强化对融安金桔地理标志产品授权企业和金桔行业协会的管理，让抓品质维护品牌形象成为行业自律，严厉打击损害融安金桔品牌的虚假宣传和销售行为。优化金桔种植要素，引导金桔上山、上坡地，新增金桔种植面积</w:t>
            </w:r>
            <w:r>
              <w:rPr>
                <w:rFonts w:hint="default" w:ascii="Times New Roman" w:hAnsi="Times New Roman" w:eastAsia="仿宋_GB2312" w:cs="Times New Roman"/>
                <w:color w:val="auto"/>
                <w:sz w:val="24"/>
                <w:szCs w:val="24"/>
                <w:vertAlign w:val="baseline"/>
                <w:lang w:val="en-US" w:eastAsia="zh-CN"/>
              </w:rPr>
              <w:t>0</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3</w:t>
            </w:r>
            <w:r>
              <w:rPr>
                <w:rFonts w:hint="eastAsia" w:ascii="仿宋_GB2312" w:hAnsi="仿宋_GB2312" w:eastAsia="仿宋_GB2312" w:cs="仿宋_GB2312"/>
                <w:color w:val="auto"/>
                <w:sz w:val="24"/>
                <w:szCs w:val="24"/>
                <w:vertAlign w:val="baseline"/>
                <w:lang w:val="en-US" w:eastAsia="zh-CN"/>
              </w:rPr>
              <w:t>万亩，全产业链总产值超</w:t>
            </w:r>
            <w:r>
              <w:rPr>
                <w:rFonts w:hint="default" w:ascii="Times New Roman" w:hAnsi="Times New Roman" w:eastAsia="仿宋_GB2312" w:cs="Times New Roman"/>
                <w:color w:val="auto"/>
                <w:sz w:val="24"/>
                <w:szCs w:val="24"/>
                <w:vertAlign w:val="baseline"/>
                <w:lang w:val="en-US" w:eastAsia="zh-CN"/>
              </w:rPr>
              <w:t>100</w:t>
            </w:r>
            <w:r>
              <w:rPr>
                <w:rFonts w:hint="eastAsia" w:ascii="仿宋_GB2312" w:hAnsi="仿宋_GB2312" w:eastAsia="仿宋_GB2312" w:cs="仿宋_GB2312"/>
                <w:color w:val="auto"/>
                <w:sz w:val="24"/>
                <w:szCs w:val="24"/>
                <w:vertAlign w:val="baseline"/>
                <w:lang w:val="en-US" w:eastAsia="zh-CN"/>
              </w:rPr>
              <w:t>亿元</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廖鹏翔</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县农业农村局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县发展和改革局、县科技工贸和信息化局、县财政局、县自然资源和规划局、县林业局、县市场监督管理局、县供销合作社联合社、各乡（镇）人民政府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128" w:hRule="atLeast"/>
        </w:trPr>
        <w:tc>
          <w:tcPr>
            <w:tcW w:w="57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8</w:t>
            </w:r>
            <w:r>
              <w:rPr>
                <w:rFonts w:hint="eastAsia" w:ascii="仿宋_GB2312" w:hAnsi="仿宋_GB2312" w:eastAsia="仿宋_GB2312" w:cs="仿宋_GB2312"/>
                <w:color w:val="auto"/>
                <w:sz w:val="24"/>
                <w:szCs w:val="24"/>
                <w:vertAlign w:val="baseline"/>
                <w:lang w:val="en-US" w:eastAsia="zh-CN"/>
              </w:rPr>
              <w:t>．发展壮大现代农业。持续推进现代设施农业扩面增效，年内打造蔬菜大棚种植示范基地</w:t>
            </w:r>
            <w:r>
              <w:rPr>
                <w:rFonts w:hint="default" w:ascii="Times New Roman" w:hAnsi="Times New Roman" w:eastAsia="仿宋_GB2312" w:cs="Times New Roman"/>
                <w:color w:val="auto"/>
                <w:sz w:val="24"/>
                <w:szCs w:val="24"/>
                <w:vertAlign w:val="baseline"/>
                <w:lang w:val="en-US" w:eastAsia="zh-CN"/>
              </w:rPr>
              <w:t>2</w:t>
            </w:r>
            <w:r>
              <w:rPr>
                <w:rFonts w:hint="eastAsia" w:ascii="仿宋_GB2312" w:hAnsi="仿宋_GB2312" w:eastAsia="仿宋_GB2312" w:cs="仿宋_GB2312"/>
                <w:color w:val="auto"/>
                <w:sz w:val="24"/>
                <w:szCs w:val="24"/>
                <w:vertAlign w:val="baseline"/>
                <w:lang w:val="en-US" w:eastAsia="zh-CN"/>
              </w:rPr>
              <w:t>个以上。不断放大农业龙头企业联农带农作用，健全完善多元化利益分配机制，将农户与企业利益紧密联结在产业链上</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廖鹏翔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仿宋_GB2312" w:hAnsi="仿宋_GB2312" w:eastAsia="仿宋_GB2312" w:cs="仿宋_GB2312"/>
                <w:color w:val="auto"/>
                <w:sz w:val="24"/>
                <w:szCs w:val="24"/>
                <w:vertAlign w:val="baseline"/>
                <w:lang w:val="en-US" w:eastAsia="zh-CN"/>
              </w:rPr>
              <w:t>张振</w:t>
            </w:r>
            <w:r>
              <w:rPr>
                <w:rFonts w:hint="eastAsia" w:ascii="仿宋_GB2312" w:hAnsi="仿宋_GB2312" w:cs="仿宋_GB2312"/>
                <w:color w:val="auto"/>
                <w:sz w:val="24"/>
                <w:szCs w:val="24"/>
                <w:vertAlign w:val="baseline"/>
                <w:lang w:val="en-US" w:eastAsia="zh-CN"/>
              </w:rPr>
              <w:t>宇</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县农业农村局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县发展和改革局、县财政局、县供销合作社联合社、各乡（镇）人民政府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000" w:hRule="atLeast"/>
        </w:trPr>
        <w:tc>
          <w:tcPr>
            <w:tcW w:w="576" w:type="pct"/>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三</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聚焦重大项目，千方百计扩大有效投资</w:t>
            </w: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9</w:t>
            </w:r>
            <w:r>
              <w:rPr>
                <w:rFonts w:hint="eastAsia" w:ascii="仿宋_GB2312" w:hAnsi="仿宋_GB2312" w:eastAsia="仿宋_GB2312" w:cs="仿宋_GB2312"/>
                <w:color w:val="auto"/>
                <w:sz w:val="24"/>
                <w:szCs w:val="24"/>
                <w:vertAlign w:val="baseline"/>
                <w:lang w:val="en-US" w:eastAsia="zh-CN"/>
              </w:rPr>
              <w:t>．紧抓重大项目统筹投资。不断统筹县级重大项目建设，常态化开展项目谋划滚动储备，统筹考虑立项、建设、运营、管护、退出等因素，不断提高谋划质量，紧跟中央预算内、专项债券、政策性金融工具等金融政策导向，全力争取各方面资金支持。谋划基础设施配套、产业发展、民生短板弱项等方面项目，力争进入国家、自治区和柳州市项目库，全年动态谋划重大项目</w:t>
            </w:r>
            <w:r>
              <w:rPr>
                <w:rFonts w:hint="default" w:ascii="Times New Roman" w:hAnsi="Times New Roman" w:eastAsia="仿宋_GB2312" w:cs="Times New Roman"/>
                <w:color w:val="auto"/>
                <w:sz w:val="24"/>
                <w:szCs w:val="24"/>
                <w:vertAlign w:val="baseline"/>
                <w:lang w:val="en-US" w:eastAsia="zh-CN"/>
              </w:rPr>
              <w:t>48</w:t>
            </w:r>
            <w:r>
              <w:rPr>
                <w:rFonts w:hint="eastAsia" w:ascii="仿宋_GB2312" w:hAnsi="仿宋_GB2312" w:eastAsia="仿宋_GB2312" w:cs="仿宋_GB2312"/>
                <w:color w:val="auto"/>
                <w:sz w:val="24"/>
                <w:szCs w:val="24"/>
                <w:vertAlign w:val="baseline"/>
                <w:lang w:val="en-US" w:eastAsia="zh-CN"/>
              </w:rPr>
              <w:t>个以上</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莫慧明</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县发展和改革局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县财政局、县教育局、县科技工贸和信息化局、县民政局、县自然资源和规划局、县住房和城乡建设局、县交通运输局、县水利局、</w:t>
            </w:r>
            <w:r>
              <w:rPr>
                <w:rFonts w:hint="eastAsia" w:ascii="仿宋_GB2312" w:hAnsi="仿宋_GB2312" w:eastAsia="仿宋_GB2312" w:cs="仿宋_GB2312"/>
                <w:color w:val="auto"/>
                <w:spacing w:val="-6"/>
                <w:sz w:val="24"/>
                <w:szCs w:val="24"/>
                <w:vertAlign w:val="baseline"/>
                <w:lang w:val="en-US" w:eastAsia="zh-CN"/>
              </w:rPr>
              <w:t>县文化体育广电和旅游局、县卫生健康局、</w:t>
            </w:r>
            <w:r>
              <w:rPr>
                <w:rFonts w:hint="eastAsia" w:ascii="仿宋_GB2312" w:hAnsi="仿宋_GB2312" w:eastAsia="仿宋_GB2312" w:cs="仿宋_GB2312"/>
                <w:color w:val="auto"/>
                <w:sz w:val="24"/>
                <w:szCs w:val="24"/>
                <w:vertAlign w:val="baseline"/>
                <w:lang w:val="en-US" w:eastAsia="zh-CN"/>
              </w:rPr>
              <w:t>县农业农村局、县林业局、县投资促进中心、县供销合作社联合社、县征地拆迁和房屋征收补偿服</w:t>
            </w:r>
            <w:r>
              <w:rPr>
                <w:rFonts w:hint="eastAsia" w:ascii="仿宋_GB2312" w:hAnsi="仿宋_GB2312" w:eastAsia="仿宋_GB2312" w:cs="仿宋_GB2312"/>
                <w:color w:val="auto"/>
                <w:spacing w:val="-6"/>
                <w:sz w:val="24"/>
                <w:szCs w:val="24"/>
                <w:vertAlign w:val="baseline"/>
                <w:lang w:val="en-US" w:eastAsia="zh-CN"/>
              </w:rPr>
              <w:t>务中心、县工业集中区管理委员会服务中心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131" w:hRule="atLeast"/>
        </w:trPr>
        <w:tc>
          <w:tcPr>
            <w:tcW w:w="57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10</w:t>
            </w:r>
            <w:r>
              <w:rPr>
                <w:rFonts w:hint="eastAsia" w:ascii="仿宋_GB2312" w:hAnsi="仿宋_GB2312" w:eastAsia="仿宋_GB2312" w:cs="仿宋_GB2312"/>
                <w:color w:val="auto"/>
                <w:sz w:val="24"/>
                <w:szCs w:val="24"/>
                <w:vertAlign w:val="baseline"/>
                <w:lang w:val="en-US" w:eastAsia="zh-CN"/>
              </w:rPr>
              <w:t>．持续优化营商环境。积极拓宽社会资本投资渠道，鼓励支持民营企业参与现代农业、园区配套、民生领域等方面建设。进一步深化“放管服”改革，优化重大项目专班推进机制，加强项目土地、资金、人力等要素保障和手续办理等环节全方位服务，推行“容缺”办理机制，最大限度缩短项目审批流程</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莫慧明</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县发展和改革局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县科技工贸和信息化局、县财政局、县人力资源和社会保障局、县自然资源和规划局、</w:t>
            </w:r>
            <w:r>
              <w:rPr>
                <w:rFonts w:hint="eastAsia" w:ascii="仿宋_GB2312" w:hAnsi="仿宋_GB2312" w:eastAsia="仿宋_GB2312" w:cs="仿宋_GB2312"/>
                <w:color w:val="auto"/>
                <w:spacing w:val="11"/>
                <w:sz w:val="24"/>
                <w:szCs w:val="24"/>
                <w:vertAlign w:val="baseline"/>
                <w:lang w:val="en-US" w:eastAsia="zh-CN"/>
              </w:rPr>
              <w:t>县住房和城乡建设局、县行政审批局、县工业集中区管理委员会服务中心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489" w:hRule="atLeast"/>
        </w:trPr>
        <w:tc>
          <w:tcPr>
            <w:tcW w:w="57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三</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聚焦重大项目，千方百计扩大有效投资</w:t>
            </w: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w:t>
            </w:r>
            <w:r>
              <w:rPr>
                <w:rFonts w:hint="eastAsia" w:ascii="仿宋_GB2312" w:hAnsi="仿宋_GB2312" w:eastAsia="仿宋_GB2312" w:cs="仿宋_GB2312"/>
                <w:color w:val="auto"/>
                <w:sz w:val="24"/>
                <w:szCs w:val="24"/>
                <w:vertAlign w:val="baseline"/>
                <w:lang w:val="en-US" w:eastAsia="zh-CN"/>
              </w:rPr>
              <w:t>．加快项目建设。加快推进永柳高速、融福高速、页岩气区块开发、香杉工业园区三期等一批在建重大项目。推动龙融高速、长安大将风电场和泗顶马田光伏实质性开工，形成新的投资增量，力争全年完成固定资产投资</w:t>
            </w:r>
            <w:r>
              <w:rPr>
                <w:rFonts w:hint="default" w:ascii="Times New Roman" w:hAnsi="Times New Roman" w:eastAsia="仿宋_GB2312" w:cs="Times New Roman"/>
                <w:color w:val="auto"/>
                <w:sz w:val="24"/>
                <w:szCs w:val="24"/>
                <w:vertAlign w:val="baseline"/>
                <w:lang w:val="en-US" w:eastAsia="zh-CN"/>
              </w:rPr>
              <w:t>45</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4</w:t>
            </w:r>
            <w:r>
              <w:rPr>
                <w:rFonts w:hint="eastAsia" w:ascii="仿宋_GB2312" w:hAnsi="仿宋_GB2312" w:eastAsia="仿宋_GB2312" w:cs="仿宋_GB2312"/>
                <w:color w:val="auto"/>
                <w:sz w:val="24"/>
                <w:szCs w:val="24"/>
                <w:vertAlign w:val="baseline"/>
                <w:lang w:val="en-US" w:eastAsia="zh-CN"/>
              </w:rPr>
              <w:t>亿元以上。强化国资管理，持续优化国有资本投资布局，盘活存量资产资源，提升国资运营效率。鼓励县属国企深度参与县域战略项目建设和重点产业发展，建立县属国企重大投资全过程监管体系，确保国资国企运行更加健康平稳。力争</w:t>
            </w:r>
            <w:r>
              <w:rPr>
                <w:rFonts w:hint="eastAsia" w:ascii="仿宋_GB2312" w:hAnsi="仿宋_GB2312" w:eastAsia="仿宋_GB2312" w:cs="仿宋_GB2312"/>
                <w:color w:val="auto"/>
                <w:spacing w:val="-6"/>
                <w:sz w:val="24"/>
                <w:szCs w:val="24"/>
                <w:vertAlign w:val="baseline"/>
                <w:lang w:val="en-US" w:eastAsia="zh-CN"/>
              </w:rPr>
              <w:t>县属国企总资产达</w:t>
            </w:r>
            <w:r>
              <w:rPr>
                <w:rFonts w:hint="default" w:ascii="Times New Roman" w:hAnsi="Times New Roman" w:eastAsia="仿宋_GB2312" w:cs="Times New Roman"/>
                <w:color w:val="auto"/>
                <w:spacing w:val="-6"/>
                <w:sz w:val="24"/>
                <w:szCs w:val="24"/>
                <w:vertAlign w:val="baseline"/>
                <w:lang w:val="en-US" w:eastAsia="zh-CN"/>
              </w:rPr>
              <w:t>107</w:t>
            </w:r>
            <w:r>
              <w:rPr>
                <w:rFonts w:hint="eastAsia" w:ascii="仿宋_GB2312" w:hAnsi="仿宋_GB2312" w:eastAsia="仿宋_GB2312" w:cs="仿宋_GB2312"/>
                <w:color w:val="auto"/>
                <w:spacing w:val="-6"/>
                <w:sz w:val="24"/>
                <w:szCs w:val="24"/>
                <w:vertAlign w:val="baseline"/>
                <w:lang w:val="en-US" w:eastAsia="zh-CN"/>
              </w:rPr>
              <w:t>亿元，营业收入</w:t>
            </w:r>
            <w:r>
              <w:rPr>
                <w:rFonts w:hint="default" w:ascii="Times New Roman" w:hAnsi="Times New Roman" w:eastAsia="仿宋_GB2312" w:cs="Times New Roman"/>
                <w:color w:val="auto"/>
                <w:spacing w:val="-6"/>
                <w:sz w:val="24"/>
                <w:szCs w:val="24"/>
                <w:vertAlign w:val="baseline"/>
                <w:lang w:val="en-US" w:eastAsia="zh-CN"/>
              </w:rPr>
              <w:t>0</w:t>
            </w:r>
            <w:r>
              <w:rPr>
                <w:rFonts w:hint="eastAsia" w:ascii="仿宋_GB2312" w:hAnsi="仿宋_GB2312" w:eastAsia="仿宋_GB2312" w:cs="仿宋_GB2312"/>
                <w:color w:val="auto"/>
                <w:spacing w:val="-6"/>
                <w:sz w:val="24"/>
                <w:szCs w:val="24"/>
                <w:vertAlign w:val="baseline"/>
                <w:lang w:val="en-US" w:eastAsia="zh-CN"/>
              </w:rPr>
              <w:t>.</w:t>
            </w:r>
            <w:r>
              <w:rPr>
                <w:rFonts w:hint="default" w:ascii="Times New Roman" w:hAnsi="Times New Roman" w:eastAsia="仿宋_GB2312" w:cs="Times New Roman"/>
                <w:color w:val="auto"/>
                <w:spacing w:val="-6"/>
                <w:sz w:val="24"/>
                <w:szCs w:val="24"/>
                <w:vertAlign w:val="baseline"/>
                <w:lang w:val="en-US" w:eastAsia="zh-CN"/>
              </w:rPr>
              <w:t>66</w:t>
            </w:r>
            <w:r>
              <w:rPr>
                <w:rFonts w:hint="eastAsia" w:ascii="仿宋_GB2312" w:hAnsi="仿宋_GB2312" w:eastAsia="仿宋_GB2312" w:cs="仿宋_GB2312"/>
                <w:color w:val="auto"/>
                <w:spacing w:val="-6"/>
                <w:sz w:val="24"/>
                <w:szCs w:val="24"/>
                <w:vertAlign w:val="baseline"/>
                <w:lang w:val="en-US" w:eastAsia="zh-CN"/>
              </w:rPr>
              <w:t>亿元以上，实现扭亏为盈</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莫慧明</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县发展和改革局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县科技工贸和信息化局、县财政局、县交通运输局、县投资促进中心、县征地拆迁和房屋征收补偿服务中心、县工业集中区管理委员会服务中心、</w:t>
            </w:r>
            <w:r>
              <w:rPr>
                <w:rFonts w:hint="eastAsia" w:ascii="仿宋_GB2312" w:hAnsi="仿宋_GB2312" w:eastAsia="仿宋_GB2312" w:cs="仿宋_GB2312"/>
                <w:color w:val="auto"/>
                <w:sz w:val="24"/>
                <w:szCs w:val="24"/>
                <w:u w:val="none"/>
                <w:vertAlign w:val="baseline"/>
                <w:lang w:val="en-US" w:eastAsia="zh-CN"/>
              </w:rPr>
              <w:t>县浪溪江投资发展有限责任公司、</w:t>
            </w:r>
            <w:r>
              <w:rPr>
                <w:rFonts w:hint="eastAsia" w:ascii="仿宋_GB2312" w:hAnsi="仿宋_GB2312" w:eastAsia="仿宋_GB2312" w:cs="仿宋_GB2312"/>
                <w:color w:val="auto"/>
                <w:sz w:val="24"/>
                <w:szCs w:val="24"/>
                <w:vertAlign w:val="baseline"/>
                <w:lang w:val="en-US" w:eastAsia="zh-CN"/>
              </w:rPr>
              <w:t>县高</w:t>
            </w:r>
            <w:r>
              <w:rPr>
                <w:rFonts w:hint="eastAsia" w:ascii="仿宋_GB2312" w:hAnsi="仿宋_GB2312" w:eastAsia="仿宋_GB2312" w:cs="仿宋_GB2312"/>
                <w:color w:val="auto"/>
                <w:spacing w:val="-6"/>
                <w:sz w:val="24"/>
                <w:szCs w:val="24"/>
                <w:vertAlign w:val="baseline"/>
                <w:lang w:val="en-US" w:eastAsia="zh-CN"/>
              </w:rPr>
              <w:t>速公路工程建设指挥部办公室、县桔乡公用事业有限责任公司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435" w:hRule="atLeast"/>
        </w:trPr>
        <w:tc>
          <w:tcPr>
            <w:tcW w:w="57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四</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聚焦建管融合，锲而不舍推进新型城镇化</w:t>
            </w: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w:t>
            </w:r>
            <w:r>
              <w:rPr>
                <w:rFonts w:hint="eastAsia" w:ascii="仿宋_GB2312" w:hAnsi="仿宋_GB2312" w:eastAsia="仿宋_GB2312" w:cs="仿宋_GB2312"/>
                <w:color w:val="auto"/>
                <w:sz w:val="24"/>
                <w:szCs w:val="24"/>
                <w:vertAlign w:val="baseline"/>
                <w:lang w:val="en-US" w:eastAsia="zh-CN"/>
              </w:rPr>
              <w:t>．完善城市设施建设。提升县城综合承载能力，持续优化住房保障、公共设施、生态环境等用地结构，推进闲置低效土地清理腾退，促进县城建设用地集约高效利用。逐步完善排水管网布局，积极筹措资金推动县城排水管网改造和污水管网建设等项目复工，推进综合批发市场排水管网、广场商住小区排水管网等改造工程。进一步提升城市精细化管理水平，着力解决县城功能配套不足问题，建设汽车充电桩</w:t>
            </w:r>
            <w:r>
              <w:rPr>
                <w:rFonts w:hint="default" w:ascii="Times New Roman" w:hAnsi="Times New Roman" w:eastAsia="仿宋_GB2312" w:cs="Times New Roman"/>
                <w:color w:val="auto"/>
                <w:sz w:val="24"/>
                <w:szCs w:val="24"/>
                <w:vertAlign w:val="baseline"/>
                <w:lang w:val="en-US" w:eastAsia="zh-CN"/>
              </w:rPr>
              <w:t>165</w:t>
            </w:r>
            <w:r>
              <w:rPr>
                <w:rFonts w:hint="eastAsia" w:ascii="仿宋_GB2312" w:hAnsi="仿宋_GB2312" w:eastAsia="仿宋_GB2312" w:cs="仿宋_GB2312"/>
                <w:color w:val="auto"/>
                <w:sz w:val="24"/>
                <w:szCs w:val="24"/>
                <w:vertAlign w:val="baseline"/>
                <w:lang w:val="en-US" w:eastAsia="zh-CN"/>
              </w:rPr>
              <w:t>个以上。</w:t>
            </w:r>
            <w:r>
              <w:rPr>
                <w:rFonts w:hint="default" w:ascii="仿宋_GB2312" w:hAnsi="仿宋_GB2312" w:eastAsia="仿宋_GB2312" w:cs="仿宋_GB2312"/>
                <w:color w:val="auto"/>
                <w:sz w:val="24"/>
                <w:szCs w:val="24"/>
                <w:vertAlign w:val="baseline"/>
                <w:lang w:val="en-US" w:eastAsia="zh-CN"/>
              </w:rPr>
              <w:t>优化实验一小周边路网，打通与长安大道连接线，解决解放街上下学时段群众出行难问题</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陈远昭</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县住房和城乡建设局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县发展和改革局、县财政局、县自然资源和规划局、县水利局、县综合行政执法局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642" w:hRule="atLeast"/>
        </w:trPr>
        <w:tc>
          <w:tcPr>
            <w:tcW w:w="576" w:type="pct"/>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四</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聚焦建管融合，锲而不舍推进新型城镇化</w:t>
            </w: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w:t>
            </w:r>
            <w:r>
              <w:rPr>
                <w:rFonts w:hint="eastAsia" w:ascii="仿宋_GB2312" w:hAnsi="仿宋_GB2312" w:eastAsia="仿宋_GB2312" w:cs="仿宋_GB2312"/>
                <w:color w:val="auto"/>
                <w:sz w:val="24"/>
                <w:szCs w:val="24"/>
                <w:vertAlign w:val="baseline"/>
                <w:lang w:val="en-US" w:eastAsia="zh-CN"/>
              </w:rPr>
              <w:t>．完善城镇规划。统筹城镇和村庄规划建设，完成编制</w:t>
            </w:r>
            <w:r>
              <w:rPr>
                <w:rFonts w:hint="default" w:ascii="Times New Roman" w:hAnsi="Times New Roman" w:eastAsia="仿宋_GB2312" w:cs="Times New Roman"/>
                <w:color w:val="auto"/>
                <w:sz w:val="24"/>
                <w:szCs w:val="24"/>
                <w:vertAlign w:val="baseline"/>
                <w:lang w:val="en-US" w:eastAsia="zh-CN"/>
              </w:rPr>
              <w:t>10</w:t>
            </w:r>
            <w:r>
              <w:rPr>
                <w:rFonts w:hint="eastAsia" w:ascii="仿宋_GB2312" w:hAnsi="仿宋_GB2312" w:eastAsia="仿宋_GB2312" w:cs="仿宋_GB2312"/>
                <w:color w:val="auto"/>
                <w:sz w:val="24"/>
                <w:szCs w:val="24"/>
                <w:vertAlign w:val="baseline"/>
                <w:lang w:val="en-US" w:eastAsia="zh-CN"/>
              </w:rPr>
              <w:t>个乡镇国土空间规划，为</w:t>
            </w:r>
            <w:r>
              <w:rPr>
                <w:rFonts w:hint="default" w:ascii="Times New Roman" w:hAnsi="Times New Roman" w:eastAsia="仿宋_GB2312" w:cs="Times New Roman"/>
                <w:color w:val="auto"/>
                <w:sz w:val="24"/>
                <w:szCs w:val="24"/>
                <w:vertAlign w:val="baseline"/>
                <w:lang w:val="en-US" w:eastAsia="zh-CN"/>
              </w:rPr>
              <w:t>36</w:t>
            </w:r>
            <w:r>
              <w:rPr>
                <w:rFonts w:hint="eastAsia" w:ascii="仿宋_GB2312" w:hAnsi="仿宋_GB2312" w:eastAsia="仿宋_GB2312" w:cs="仿宋_GB2312"/>
                <w:color w:val="auto"/>
                <w:sz w:val="24"/>
                <w:szCs w:val="24"/>
                <w:vertAlign w:val="baseline"/>
                <w:lang w:val="en-US" w:eastAsia="zh-CN"/>
              </w:rPr>
              <w:t>个行政村制定融安县“通则式”村庄规划管理规定。加强骑楼街开发、管理和业态植入，让历史街区在传承历史空间格局的同时，适应现代商业功能需求</w:t>
            </w:r>
          </w:p>
        </w:tc>
        <w:tc>
          <w:tcPr>
            <w:tcW w:w="428" w:type="pct"/>
            <w:shd w:val="clear" w:color="auto" w:fill="FFFFFF"/>
            <w:noWrap w:val="0"/>
            <w:vAlign w:val="center"/>
          </w:tcPr>
          <w:p>
            <w:pPr>
              <w:pStyle w:val="2"/>
              <w:ind w:firstLine="240" w:firstLineChars="100"/>
              <w:rPr>
                <w:rFonts w:hint="eastAsia"/>
                <w:lang w:val="en-US" w:eastAsia="zh-CN"/>
              </w:rPr>
            </w:pPr>
            <w:r>
              <w:rPr>
                <w:rFonts w:hint="eastAsia" w:ascii="仿宋_GB2312" w:hAnsi="仿宋_GB2312" w:eastAsia="仿宋_GB2312" w:cs="仿宋_GB2312"/>
                <w:color w:val="auto"/>
                <w:sz w:val="24"/>
                <w:szCs w:val="24"/>
                <w:vertAlign w:val="baseline"/>
                <w:lang w:val="en-US" w:eastAsia="zh-CN"/>
              </w:rPr>
              <w:t>莫慧明</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县自然资源和规划局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县科技工贸和信息化局、县财政局、县住房和城乡建设局、县交通运输局、</w:t>
            </w:r>
            <w:r>
              <w:rPr>
                <w:rFonts w:hint="eastAsia" w:ascii="仿宋_GB2312" w:hAnsi="仿宋_GB2312" w:eastAsia="仿宋_GB2312" w:cs="仿宋_GB2312"/>
                <w:color w:val="auto"/>
                <w:spacing w:val="-11"/>
                <w:sz w:val="24"/>
                <w:szCs w:val="24"/>
                <w:vertAlign w:val="baseline"/>
                <w:lang w:val="en-US" w:eastAsia="zh-CN"/>
              </w:rPr>
              <w:t>县农业农村局、</w:t>
            </w:r>
            <w:r>
              <w:rPr>
                <w:rFonts w:hint="eastAsia" w:ascii="仿宋_GB2312" w:hAnsi="仿宋_GB2312" w:eastAsia="仿宋_GB2312" w:cs="仿宋_GB2312"/>
                <w:color w:val="auto"/>
                <w:spacing w:val="-6"/>
                <w:sz w:val="24"/>
                <w:szCs w:val="24"/>
                <w:vertAlign w:val="baseline"/>
                <w:lang w:val="en-US" w:eastAsia="zh-CN"/>
              </w:rPr>
              <w:t>县文化体育广电和旅游局、</w:t>
            </w:r>
            <w:r>
              <w:rPr>
                <w:rFonts w:hint="eastAsia" w:ascii="仿宋_GB2312" w:hAnsi="仿宋_GB2312" w:eastAsia="仿宋_GB2312" w:cs="仿宋_GB2312"/>
                <w:color w:val="auto"/>
                <w:sz w:val="24"/>
                <w:szCs w:val="24"/>
                <w:vertAlign w:val="baseline"/>
                <w:lang w:val="en-US" w:eastAsia="zh-CN"/>
              </w:rPr>
              <w:t>县综合行政执法局、各乡（镇）人民政府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666" w:hRule="atLeast"/>
        </w:trPr>
        <w:tc>
          <w:tcPr>
            <w:tcW w:w="57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14</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持续改善城乡环境。以创建“零违建小区”为抓手，强化街道、社区、网格三级防控，坚决遏制新增违建。集中开展居民小区和楼宇、管线线缆、道路街巷、农贸市场及周边专项整治提升行动，打造一批“文明示范街”</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陈远昭</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县综合行政执法局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县财政局</w:t>
            </w:r>
            <w:r>
              <w:rPr>
                <w:rFonts w:hint="eastAsia" w:ascii="仿宋_GB2312" w:hAnsi="仿宋_GB2312" w:eastAsia="仿宋_GB2312" w:cs="仿宋_GB2312"/>
                <w:color w:val="00B0F0"/>
                <w:sz w:val="24"/>
                <w:szCs w:val="24"/>
                <w:vertAlign w:val="baseline"/>
                <w:lang w:val="en-US" w:eastAsia="zh-CN"/>
              </w:rPr>
              <w:t>、</w:t>
            </w:r>
            <w:r>
              <w:rPr>
                <w:rFonts w:hint="eastAsia" w:ascii="仿宋_GB2312" w:hAnsi="仿宋_GB2312" w:eastAsia="仿宋_GB2312" w:cs="仿宋_GB2312"/>
                <w:color w:val="auto"/>
                <w:sz w:val="24"/>
                <w:szCs w:val="24"/>
                <w:vertAlign w:val="baseline"/>
                <w:lang w:val="en-US" w:eastAsia="zh-CN"/>
              </w:rPr>
              <w:t>县交通运输局、</w:t>
            </w:r>
            <w:r>
              <w:rPr>
                <w:rFonts w:hint="eastAsia" w:ascii="仿宋_GB2312" w:hAnsi="仿宋_GB2312" w:eastAsia="仿宋_GB2312" w:cs="仿宋_GB2312"/>
                <w:color w:val="auto"/>
                <w:spacing w:val="-11"/>
                <w:sz w:val="24"/>
                <w:szCs w:val="24"/>
                <w:vertAlign w:val="baseline"/>
                <w:lang w:val="en-US" w:eastAsia="zh-CN"/>
              </w:rPr>
              <w:t>县农业农村局、</w:t>
            </w:r>
            <w:r>
              <w:rPr>
                <w:rFonts w:hint="eastAsia" w:ascii="仿宋_GB2312" w:hAnsi="仿宋_GB2312" w:eastAsia="仿宋_GB2312" w:cs="仿宋_GB2312"/>
                <w:color w:val="auto"/>
                <w:sz w:val="24"/>
                <w:szCs w:val="24"/>
                <w:vertAlign w:val="baseline"/>
                <w:lang w:val="en-US" w:eastAsia="zh-CN"/>
              </w:rPr>
              <w:t>县市场监督管理局、县自然资源和规划局、县住房和城乡建设局、县精神文明建设办公室、各乡（镇）人民政府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066" w:hRule="atLeast"/>
        </w:trPr>
        <w:tc>
          <w:tcPr>
            <w:tcW w:w="57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五</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聚焦巩固脱贫，全力以赴推进乡村振兴</w:t>
            </w: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15</w:t>
            </w:r>
            <w:r>
              <w:rPr>
                <w:rFonts w:hint="eastAsia" w:ascii="仿宋_GB2312" w:hAnsi="仿宋_GB2312" w:eastAsia="仿宋_GB2312" w:cs="仿宋_GB2312"/>
                <w:color w:val="auto"/>
                <w:sz w:val="24"/>
                <w:szCs w:val="24"/>
                <w:vertAlign w:val="baseline"/>
                <w:lang w:val="en-US" w:eastAsia="zh-CN"/>
              </w:rPr>
              <w:t>．多措并举，抓实增收工作。通过产业帮扶、稳岗就业、兜底保障三大措施，千方百计促进脱贫人口增收及农民人均可支配收入增速提高。关注农村低收入人群和突发困难户，制定一户一策增收措施。用好“老王送工”零工驿站、就业帮扶车间等项目，促进易地搬迁脱贫人口就业，确保易地搬迁脱贫人口收入增速高于全县脱贫人口。持续加大产业“以奖代补”惠农政策帮扶力度，增加生产经营性收入</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B0F0"/>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廖鹏翔</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县农业农村局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县财政局、县人力资源和社会保障局、</w:t>
            </w:r>
            <w:r>
              <w:rPr>
                <w:rFonts w:hint="eastAsia" w:ascii="仿宋_GB2312" w:hAnsi="仿宋_GB2312" w:eastAsia="仿宋_GB2312" w:cs="仿宋_GB2312"/>
                <w:color w:val="auto"/>
                <w:sz w:val="24"/>
                <w:szCs w:val="24"/>
                <w:u w:val="none"/>
                <w:vertAlign w:val="baseline"/>
                <w:lang w:val="en-US" w:eastAsia="zh-CN"/>
              </w:rPr>
              <w:t>县易地搬迁服务中心、县卫生健康局、县残疾人联合会、县医疗保障局、县教育局、县统计局、县林业局、</w:t>
            </w:r>
            <w:r>
              <w:rPr>
                <w:rFonts w:hint="eastAsia" w:ascii="仿宋_GB2312" w:hAnsi="仿宋_GB2312" w:eastAsia="仿宋_GB2312" w:cs="仿宋_GB2312"/>
                <w:color w:val="auto"/>
                <w:sz w:val="24"/>
                <w:szCs w:val="24"/>
                <w:vertAlign w:val="baseline"/>
                <w:lang w:val="en-US" w:eastAsia="zh-CN"/>
              </w:rPr>
              <w:t>县民政局、各乡（镇）人民政府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25" w:hRule="atLeast"/>
        </w:trPr>
        <w:tc>
          <w:tcPr>
            <w:tcW w:w="576" w:type="pct"/>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五</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聚焦巩固脱贫，全力以赴推进乡村振兴</w:t>
            </w: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16</w:t>
            </w:r>
            <w:r>
              <w:rPr>
                <w:rFonts w:hint="eastAsia" w:ascii="仿宋_GB2312" w:hAnsi="仿宋_GB2312" w:eastAsia="仿宋_GB2312" w:cs="仿宋_GB2312"/>
                <w:color w:val="auto"/>
                <w:sz w:val="24"/>
                <w:szCs w:val="24"/>
                <w:vertAlign w:val="baseline"/>
                <w:lang w:val="en-US" w:eastAsia="zh-CN"/>
              </w:rPr>
              <w:t>．持续推进乡村振兴。积极争取财政衔接资金，巩固提升农村水、路、灌溉等基础设施。利用农村公路养护市场化改革成果,大力推进“四好”农村路建设。深化粤桂协作，做好消费帮扶，抓好“圳品”认证、“供深基地”建设，促进产业提档升级。学习运用“千万工程”经验，以农村厕所革命、污水治理和生活垃圾收运为重点，积极推进宜居宜业和美乡村建设，新改建农村户厕</w:t>
            </w:r>
            <w:r>
              <w:rPr>
                <w:rFonts w:hint="default" w:ascii="Times New Roman" w:hAnsi="Times New Roman" w:eastAsia="仿宋_GB2312" w:cs="Times New Roman"/>
                <w:color w:val="auto"/>
                <w:sz w:val="24"/>
                <w:szCs w:val="24"/>
                <w:vertAlign w:val="baseline"/>
                <w:lang w:val="en-US" w:eastAsia="zh-CN"/>
              </w:rPr>
              <w:t>600</w:t>
            </w:r>
            <w:r>
              <w:rPr>
                <w:rFonts w:hint="eastAsia" w:ascii="仿宋_GB2312" w:hAnsi="仿宋_GB2312" w:eastAsia="仿宋_GB2312" w:cs="仿宋_GB2312"/>
                <w:color w:val="auto"/>
                <w:sz w:val="24"/>
                <w:szCs w:val="24"/>
                <w:vertAlign w:val="baseline"/>
                <w:lang w:val="en-US" w:eastAsia="zh-CN"/>
              </w:rPr>
              <w:t>户以上，农村生活污水治理率达</w:t>
            </w:r>
            <w:r>
              <w:rPr>
                <w:rFonts w:hint="default" w:ascii="Times New Roman" w:hAnsi="Times New Roman" w:eastAsia="仿宋_GB2312" w:cs="Times New Roman"/>
                <w:color w:val="auto"/>
                <w:sz w:val="24"/>
                <w:szCs w:val="24"/>
                <w:vertAlign w:val="baseline"/>
                <w:lang w:val="en-US" w:eastAsia="zh-CN"/>
              </w:rPr>
              <w:t>40%</w:t>
            </w:r>
            <w:r>
              <w:rPr>
                <w:rFonts w:hint="eastAsia" w:ascii="仿宋_GB2312" w:hAnsi="仿宋_GB2312" w:eastAsia="仿宋_GB2312" w:cs="仿宋_GB2312"/>
                <w:color w:val="auto"/>
                <w:sz w:val="24"/>
                <w:szCs w:val="24"/>
                <w:vertAlign w:val="baseline"/>
                <w:lang w:val="en-US" w:eastAsia="zh-CN"/>
              </w:rPr>
              <w:t>以上，使用地埋式垃圾桶村屯占比</w:t>
            </w:r>
            <w:r>
              <w:rPr>
                <w:rFonts w:hint="default" w:ascii="Times New Roman" w:hAnsi="Times New Roman" w:eastAsia="仿宋_GB2312" w:cs="Times New Roman"/>
                <w:color w:val="auto"/>
                <w:sz w:val="24"/>
                <w:szCs w:val="24"/>
                <w:vertAlign w:val="baseline"/>
                <w:lang w:val="en-US" w:eastAsia="zh-CN"/>
              </w:rPr>
              <w:t>25%</w:t>
            </w:r>
            <w:r>
              <w:rPr>
                <w:rFonts w:hint="eastAsia" w:ascii="仿宋_GB2312" w:hAnsi="仿宋_GB2312" w:eastAsia="仿宋_GB2312" w:cs="仿宋_GB2312"/>
                <w:color w:val="auto"/>
                <w:sz w:val="24"/>
                <w:szCs w:val="24"/>
                <w:vertAlign w:val="baseline"/>
                <w:lang w:val="en-US" w:eastAsia="zh-CN"/>
              </w:rPr>
              <w:t>以上</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廖鹏翔</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县农业农村局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县发展和改革局、县财政局、县自然资源和规划局、县交通运输局、县水利局、县市场监督管理局、县林业局、县供销合作社联合社、县实施乡村振兴战略指挥部粤桂协作专责小组、各乡（镇）人民政府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045" w:hRule="atLeast"/>
        </w:trPr>
        <w:tc>
          <w:tcPr>
            <w:tcW w:w="57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17</w:t>
            </w:r>
            <w:r>
              <w:rPr>
                <w:rFonts w:hint="eastAsia" w:ascii="仿宋_GB2312" w:hAnsi="仿宋_GB2312" w:eastAsia="仿宋_GB2312" w:cs="仿宋_GB2312"/>
                <w:color w:val="auto"/>
                <w:sz w:val="24"/>
                <w:szCs w:val="24"/>
                <w:vertAlign w:val="baseline"/>
                <w:lang w:val="en-US" w:eastAsia="zh-CN"/>
              </w:rPr>
              <w:t>．壮大村集体经济，推动乡村旅游发展。开展村集体经济资产大排查，实行“三个一律”措施，力争集体经济规模再突破，村均纯收入超</w:t>
            </w:r>
            <w:r>
              <w:rPr>
                <w:rFonts w:hint="default" w:ascii="Times New Roman" w:hAnsi="Times New Roman" w:eastAsia="仿宋_GB2312" w:cs="Times New Roman"/>
                <w:color w:val="auto"/>
                <w:sz w:val="24"/>
                <w:szCs w:val="24"/>
                <w:vertAlign w:val="baseline"/>
                <w:lang w:val="en-US" w:eastAsia="zh-CN"/>
              </w:rPr>
              <w:t>5</w:t>
            </w:r>
            <w:r>
              <w:rPr>
                <w:rFonts w:hint="eastAsia" w:ascii="仿宋_GB2312" w:hAnsi="仿宋_GB2312" w:eastAsia="仿宋_GB2312" w:cs="仿宋_GB2312"/>
                <w:color w:val="auto"/>
                <w:sz w:val="24"/>
                <w:szCs w:val="24"/>
                <w:vertAlign w:val="baseline"/>
                <w:lang w:val="en-US" w:eastAsia="zh-CN"/>
              </w:rPr>
              <w:t>万元。全方位挖掘和全景式谋划全县旅游资源，重点推动大洲岛、浪溪江两大“农旅增长极”规划建设，加快构建“一核两极三品牌”全域旅游新格局，力争全年旅游人数突破</w:t>
            </w:r>
            <w:r>
              <w:rPr>
                <w:rFonts w:hint="default" w:ascii="Times New Roman" w:hAnsi="Times New Roman" w:eastAsia="仿宋_GB2312" w:cs="Times New Roman"/>
                <w:color w:val="auto"/>
                <w:sz w:val="24"/>
                <w:szCs w:val="24"/>
                <w:vertAlign w:val="baseline"/>
                <w:lang w:val="en-US" w:eastAsia="zh-CN"/>
              </w:rPr>
              <w:t>480</w:t>
            </w:r>
            <w:r>
              <w:rPr>
                <w:rFonts w:hint="eastAsia" w:ascii="仿宋_GB2312" w:hAnsi="仿宋_GB2312" w:eastAsia="仿宋_GB2312" w:cs="仿宋_GB2312"/>
                <w:color w:val="auto"/>
                <w:sz w:val="24"/>
                <w:szCs w:val="24"/>
                <w:vertAlign w:val="baseline"/>
                <w:lang w:val="en-US" w:eastAsia="zh-CN"/>
              </w:rPr>
              <w:t>万人次，实现旅游收入</w:t>
            </w:r>
            <w:r>
              <w:rPr>
                <w:rFonts w:hint="default" w:ascii="Times New Roman" w:hAnsi="Times New Roman" w:eastAsia="仿宋_GB2312" w:cs="Times New Roman"/>
                <w:color w:val="auto"/>
                <w:sz w:val="24"/>
                <w:szCs w:val="24"/>
                <w:vertAlign w:val="baseline"/>
                <w:lang w:val="en-US" w:eastAsia="zh-CN"/>
              </w:rPr>
              <w:t>50</w:t>
            </w:r>
            <w:r>
              <w:rPr>
                <w:rFonts w:hint="eastAsia" w:ascii="仿宋_GB2312" w:hAnsi="仿宋_GB2312" w:eastAsia="仿宋_GB2312" w:cs="仿宋_GB2312"/>
                <w:color w:val="auto"/>
                <w:sz w:val="24"/>
                <w:szCs w:val="24"/>
                <w:vertAlign w:val="baseline"/>
                <w:lang w:val="en-US" w:eastAsia="zh-CN"/>
              </w:rPr>
              <w:t>亿元以上</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仿宋_GB2312" w:hAnsi="仿宋_GB2312" w:eastAsia="仿宋_GB2312" w:cs="仿宋_GB2312"/>
                <w:color w:val="auto"/>
                <w:sz w:val="24"/>
                <w:szCs w:val="24"/>
                <w:vertAlign w:val="baseline"/>
                <w:lang w:val="en-US" w:eastAsia="zh-CN"/>
              </w:rPr>
              <w:t>廖鹏翔</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县农业农村局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t>县文化体育广电和旅游局、</w:t>
            </w:r>
            <w:r>
              <w:rPr>
                <w:rFonts w:hint="eastAsia" w:ascii="仿宋_GB2312" w:hAnsi="仿宋_GB2312" w:eastAsia="仿宋_GB2312" w:cs="仿宋_GB2312"/>
                <w:color w:val="auto"/>
                <w:sz w:val="24"/>
                <w:szCs w:val="24"/>
                <w:vertAlign w:val="baseline"/>
                <w:lang w:val="en-US" w:eastAsia="zh-CN"/>
              </w:rPr>
              <w:t>县工商业联合会、各乡（镇）人民政府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841" w:hRule="atLeast"/>
        </w:trPr>
        <w:tc>
          <w:tcPr>
            <w:tcW w:w="576" w:type="pct"/>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六</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聚焦急难愁盼，全心全意增进民生福祉</w:t>
            </w: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18</w:t>
            </w:r>
            <w:r>
              <w:rPr>
                <w:rFonts w:hint="eastAsia" w:ascii="仿宋_GB2312" w:hAnsi="仿宋_GB2312" w:eastAsia="仿宋_GB2312" w:cs="仿宋_GB2312"/>
                <w:color w:val="auto"/>
                <w:sz w:val="24"/>
                <w:szCs w:val="24"/>
                <w:vertAlign w:val="baseline"/>
                <w:lang w:val="en-US" w:eastAsia="zh-CN"/>
              </w:rPr>
              <w:t>．不断提升教育质量，办好人民满意教育。坚持“五个优先”战略，确保教师培训经费只增不减，持续实施“融安县中小学教师梯级培养素质提升工程”，力争通过三年时间培养一批名校长名教师及学科带头人。不断深化与江苏常州市武进区、柳州市城中区、柳州高中的教共体合作，推动区市名师工作室下沉，指导全县小学、初中、高中各学段教研教改，促进全县教科研成绩提升。推进长安镇中心小学分校和融洲幼儿园建设，力争</w:t>
            </w:r>
            <w:r>
              <w:rPr>
                <w:rFonts w:hint="default" w:ascii="Times New Roman" w:hAnsi="Times New Roman" w:eastAsia="仿宋_GB2312" w:cs="Times New Roman"/>
                <w:color w:val="auto"/>
                <w:sz w:val="24"/>
                <w:szCs w:val="24"/>
                <w:vertAlign w:val="baseline"/>
                <w:lang w:val="en-US" w:eastAsia="zh-CN"/>
              </w:rPr>
              <w:t>9</w:t>
            </w:r>
            <w:r>
              <w:rPr>
                <w:rFonts w:hint="eastAsia" w:ascii="仿宋_GB2312" w:hAnsi="仿宋_GB2312" w:eastAsia="仿宋_GB2312" w:cs="仿宋_GB2312"/>
                <w:color w:val="auto"/>
                <w:sz w:val="24"/>
                <w:szCs w:val="24"/>
                <w:vertAlign w:val="baseline"/>
                <w:lang w:val="en-US" w:eastAsia="zh-CN"/>
              </w:rPr>
              <w:t>月教学楼投入使用，增</w:t>
            </w:r>
            <w:r>
              <w:rPr>
                <w:rFonts w:hint="eastAsia" w:ascii="仿宋_GB2312" w:hAnsi="仿宋_GB2312" w:eastAsia="仿宋_GB2312" w:cs="仿宋_GB2312"/>
                <w:color w:val="auto"/>
                <w:spacing w:val="-6"/>
                <w:sz w:val="24"/>
                <w:szCs w:val="24"/>
                <w:vertAlign w:val="baseline"/>
                <w:lang w:val="en-US" w:eastAsia="zh-CN"/>
              </w:rPr>
              <w:t>加广场片区学位供给。进一步推动特教学校建设，补齐学校短板弱项</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陶  媚</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县教育局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县委机构编制委员会办公室、县财政局、县人力资源和社会保障局、各乡（镇）人民政府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1576" w:hRule="atLeast"/>
        </w:trPr>
        <w:tc>
          <w:tcPr>
            <w:tcW w:w="57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19</w:t>
            </w:r>
            <w:r>
              <w:rPr>
                <w:rFonts w:hint="eastAsia" w:ascii="仿宋_GB2312" w:hAnsi="仿宋_GB2312" w:eastAsia="仿宋_GB2312" w:cs="仿宋_GB2312"/>
                <w:color w:val="auto"/>
                <w:sz w:val="24"/>
                <w:szCs w:val="24"/>
                <w:vertAlign w:val="baseline"/>
                <w:lang w:val="en-US" w:eastAsia="zh-CN"/>
              </w:rPr>
              <w:t>．提升医疗服务水平，深化医药卫生体制综合改革。推动县人民医院内外科综合楼和大良镇中心卫生院医技综合楼等医疗领域项目复工，到</w:t>
            </w:r>
            <w:r>
              <w:rPr>
                <w:rFonts w:hint="default" w:ascii="Times New Roman" w:hAnsi="Times New Roman" w:eastAsia="仿宋_GB2312" w:cs="Times New Roman"/>
                <w:color w:val="auto"/>
                <w:sz w:val="24"/>
                <w:szCs w:val="24"/>
                <w:vertAlign w:val="baseline"/>
                <w:lang w:val="en-US" w:eastAsia="zh-CN"/>
              </w:rPr>
              <w:t>2025</w:t>
            </w:r>
            <w:r>
              <w:rPr>
                <w:rFonts w:hint="eastAsia" w:ascii="仿宋_GB2312" w:hAnsi="仿宋_GB2312" w:eastAsia="仿宋_GB2312" w:cs="仿宋_GB2312"/>
                <w:color w:val="auto"/>
                <w:sz w:val="24"/>
                <w:szCs w:val="24"/>
                <w:vertAlign w:val="baseline"/>
                <w:lang w:val="en-US" w:eastAsia="zh-CN"/>
              </w:rPr>
              <w:t>年底每千人拥有床位数上升</w:t>
            </w:r>
            <w:r>
              <w:rPr>
                <w:rFonts w:hint="default" w:ascii="Times New Roman" w:hAnsi="Times New Roman" w:eastAsia="仿宋_GB2312" w:cs="Times New Roman"/>
                <w:color w:val="auto"/>
                <w:sz w:val="24"/>
                <w:szCs w:val="24"/>
                <w:vertAlign w:val="baseline"/>
                <w:lang w:val="en-US" w:eastAsia="zh-CN"/>
              </w:rPr>
              <w:t>10%</w:t>
            </w:r>
            <w:r>
              <w:rPr>
                <w:rFonts w:hint="eastAsia" w:ascii="仿宋_GB2312" w:hAnsi="仿宋_GB2312" w:eastAsia="仿宋_GB2312" w:cs="仿宋_GB2312"/>
                <w:color w:val="auto"/>
                <w:sz w:val="24"/>
                <w:szCs w:val="24"/>
                <w:vertAlign w:val="baseline"/>
                <w:lang w:val="en-US" w:eastAsia="zh-CN"/>
              </w:rPr>
              <w:t>。支持县中医医院创建医联体博士工作站和县人民医院慢性病管理中心智慧化升级</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陶  媚</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县卫生健康局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县发展和改革局、县财政局、大良镇人民政府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1878" w:hRule="atLeast"/>
        </w:trPr>
        <w:tc>
          <w:tcPr>
            <w:tcW w:w="57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20</w:t>
            </w:r>
            <w:r>
              <w:rPr>
                <w:rFonts w:hint="eastAsia" w:ascii="仿宋_GB2312" w:hAnsi="仿宋_GB2312" w:eastAsia="仿宋_GB2312" w:cs="仿宋_GB2312"/>
                <w:color w:val="auto"/>
                <w:sz w:val="24"/>
                <w:szCs w:val="24"/>
                <w:vertAlign w:val="baseline"/>
                <w:lang w:val="en-US" w:eastAsia="zh-CN"/>
              </w:rPr>
              <w:t>．加强非物质文化遗产保护和传承。培养非遗传承人，年内推出</w:t>
            </w:r>
            <w:r>
              <w:rPr>
                <w:rFonts w:hint="default" w:ascii="Times New Roman" w:hAnsi="Times New Roman" w:eastAsia="仿宋_GB2312" w:cs="Times New Roman"/>
                <w:color w:val="auto"/>
                <w:sz w:val="24"/>
                <w:szCs w:val="24"/>
                <w:vertAlign w:val="baseline"/>
                <w:lang w:val="en-US" w:eastAsia="zh-CN"/>
              </w:rPr>
              <w:t>3</w:t>
            </w:r>
            <w:r>
              <w:rPr>
                <w:rFonts w:hint="eastAsia" w:ascii="仿宋_GB2312" w:hAnsi="仿宋_GB2312" w:eastAsia="仿宋_GB2312" w:cs="仿宋_GB2312"/>
                <w:color w:val="auto"/>
                <w:sz w:val="24"/>
                <w:szCs w:val="24"/>
                <w:vertAlign w:val="baseline"/>
                <w:lang w:val="en-US" w:eastAsia="zh-CN"/>
              </w:rPr>
              <w:t>个展现融安独特文化魅力的非遗传承项目</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陶  媚</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县文化体育广电和旅游局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1497" w:hRule="atLeast"/>
        </w:trPr>
        <w:tc>
          <w:tcPr>
            <w:tcW w:w="57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21</w:t>
            </w:r>
            <w:r>
              <w:rPr>
                <w:rFonts w:hint="eastAsia" w:ascii="仿宋_GB2312" w:hAnsi="仿宋_GB2312" w:eastAsia="仿宋_GB2312" w:cs="仿宋_GB2312"/>
                <w:color w:val="auto"/>
                <w:sz w:val="24"/>
                <w:szCs w:val="24"/>
                <w:vertAlign w:val="baseline"/>
                <w:lang w:val="en-US" w:eastAsia="zh-CN"/>
              </w:rPr>
              <w:t>．持续完善社会保障体系—就业增收。做好重点群体就业服务工作，实施就业帮扶车间、公益岗开发、灵活就业补贴、职业技能培训等一揽子政策促进就业，力争年内新增城镇就业</w:t>
            </w:r>
            <w:r>
              <w:rPr>
                <w:rFonts w:hint="default" w:ascii="Times New Roman" w:hAnsi="Times New Roman" w:eastAsia="仿宋_GB2312" w:cs="Times New Roman"/>
                <w:color w:val="auto"/>
                <w:sz w:val="24"/>
                <w:szCs w:val="24"/>
                <w:vertAlign w:val="baseline"/>
                <w:lang w:val="en-US" w:eastAsia="zh-CN"/>
              </w:rPr>
              <w:t>600</w:t>
            </w:r>
            <w:r>
              <w:rPr>
                <w:rFonts w:hint="eastAsia" w:ascii="仿宋_GB2312" w:hAnsi="仿宋_GB2312" w:eastAsia="仿宋_GB2312" w:cs="仿宋_GB2312"/>
                <w:color w:val="auto"/>
                <w:sz w:val="24"/>
                <w:szCs w:val="24"/>
                <w:vertAlign w:val="baseline"/>
                <w:lang w:val="en-US" w:eastAsia="zh-CN"/>
              </w:rPr>
              <w:t>人以上、输转劳动力</w:t>
            </w:r>
            <w:r>
              <w:rPr>
                <w:rFonts w:hint="default" w:ascii="Times New Roman" w:hAnsi="Times New Roman" w:eastAsia="仿宋_GB2312" w:cs="Times New Roman"/>
                <w:color w:val="auto"/>
                <w:sz w:val="24"/>
                <w:szCs w:val="24"/>
                <w:vertAlign w:val="baseline"/>
                <w:lang w:val="en-US" w:eastAsia="zh-CN"/>
              </w:rPr>
              <w:t>9</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3</w:t>
            </w:r>
            <w:r>
              <w:rPr>
                <w:rFonts w:hint="eastAsia" w:ascii="仿宋_GB2312" w:hAnsi="仿宋_GB2312" w:eastAsia="仿宋_GB2312" w:cs="仿宋_GB2312"/>
                <w:color w:val="auto"/>
                <w:sz w:val="24"/>
                <w:szCs w:val="24"/>
                <w:vertAlign w:val="baseline"/>
                <w:lang w:val="en-US" w:eastAsia="zh-CN"/>
              </w:rPr>
              <w:t>万人以上</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莫慧明</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7"/>
                <w:sz w:val="24"/>
                <w:szCs w:val="24"/>
                <w:vertAlign w:val="baseline"/>
                <w:lang w:val="en-US" w:eastAsia="zh-CN"/>
              </w:rPr>
              <w:t>县人力资源和社会保障局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县科技工贸和信息化局、县财政局、</w:t>
            </w:r>
            <w:r>
              <w:rPr>
                <w:rFonts w:hint="eastAsia" w:ascii="仿宋_GB2312" w:hAnsi="仿宋_GB2312" w:eastAsia="仿宋_GB2312" w:cs="仿宋_GB2312"/>
                <w:color w:val="auto"/>
                <w:spacing w:val="-11"/>
                <w:sz w:val="24"/>
                <w:szCs w:val="24"/>
                <w:vertAlign w:val="baseline"/>
                <w:lang w:val="en-US" w:eastAsia="zh-CN"/>
              </w:rPr>
              <w:t>县农业农村局、县林业局、</w:t>
            </w:r>
            <w:r>
              <w:rPr>
                <w:rFonts w:hint="eastAsia" w:ascii="仿宋_GB2312" w:hAnsi="仿宋_GB2312" w:eastAsia="仿宋_GB2312" w:cs="仿宋_GB2312"/>
                <w:color w:val="auto"/>
                <w:sz w:val="24"/>
                <w:szCs w:val="24"/>
                <w:u w:val="none"/>
                <w:vertAlign w:val="baseline"/>
                <w:lang w:val="en-US" w:eastAsia="zh-CN"/>
              </w:rPr>
              <w:t>县易地搬迁服务中心、</w:t>
            </w:r>
            <w:r>
              <w:rPr>
                <w:rFonts w:hint="eastAsia" w:ascii="仿宋_GB2312" w:hAnsi="仿宋_GB2312" w:eastAsia="仿宋_GB2312" w:cs="仿宋_GB2312"/>
                <w:color w:val="auto"/>
                <w:sz w:val="24"/>
                <w:szCs w:val="24"/>
                <w:vertAlign w:val="baseline"/>
                <w:lang w:val="en-US" w:eastAsia="zh-CN"/>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159" w:hRule="atLeast"/>
        </w:trPr>
        <w:tc>
          <w:tcPr>
            <w:tcW w:w="576" w:type="pct"/>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六</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聚焦急难愁盼，全心全意增进民生福祉</w:t>
            </w: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22</w:t>
            </w:r>
            <w:r>
              <w:rPr>
                <w:rFonts w:hint="eastAsia" w:ascii="仿宋_GB2312" w:hAnsi="仿宋_GB2312" w:eastAsia="仿宋_GB2312" w:cs="仿宋_GB2312"/>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持续完善社会保障体系—养老保障。加强养老机构“公建民营”指导，布局农村互助养老模式试点，建设一批“长者饭堂”，推进融安县示范性养老服务中心项目落地，探索实施易安点社区养老和旅居养老模式</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陶  媚</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县民政局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县易地搬迁服务中心、</w:t>
            </w:r>
            <w:r>
              <w:rPr>
                <w:rFonts w:hint="eastAsia" w:ascii="仿宋_GB2312" w:hAnsi="仿宋_GB2312" w:eastAsia="仿宋_GB2312" w:cs="仿宋_GB2312"/>
                <w:color w:val="auto"/>
                <w:sz w:val="24"/>
                <w:szCs w:val="24"/>
                <w:vertAlign w:val="baseline"/>
                <w:lang w:val="en-US" w:eastAsia="zh-CN"/>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266" w:hRule="atLeast"/>
        </w:trPr>
        <w:tc>
          <w:tcPr>
            <w:tcW w:w="57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23</w:t>
            </w:r>
            <w:r>
              <w:rPr>
                <w:rFonts w:hint="eastAsia" w:ascii="仿宋_GB2312" w:hAnsi="仿宋_GB2312" w:eastAsia="仿宋_GB2312" w:cs="仿宋_GB2312"/>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持续完善社会保障体系—移风易俗。不断深化婚俗改革，持续开展“桔乡之恋 大洲月月谈”活动。扎实推进“乡村著名行动”和“银龄行动”。全力加快殡仪馆建设进度和殡葬改革</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陶  媚</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县民政局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县精神文明建设办公室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33" w:hRule="atLeast"/>
        </w:trPr>
        <w:tc>
          <w:tcPr>
            <w:tcW w:w="57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24</w:t>
            </w:r>
            <w:r>
              <w:rPr>
                <w:rFonts w:hint="eastAsia" w:ascii="仿宋_GB2312" w:hAnsi="仿宋_GB2312" w:eastAsia="仿宋_GB2312" w:cs="仿宋_GB2312"/>
                <w:color w:val="auto"/>
                <w:sz w:val="24"/>
                <w:szCs w:val="24"/>
                <w:vertAlign w:val="baseline"/>
                <w:lang w:val="en-US" w:eastAsia="zh-CN"/>
              </w:rPr>
              <w:t>．持续完善社会保障体系—民生兜底。全面落实民政救助、扶残助残、医保救助等惠民政策，织密兜牢民生保障底线。扎实办好十项暖民心实事，让群众的获得感成色更足、幸福感更可持续、安全感更有保障</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陶  媚</w:t>
            </w:r>
          </w:p>
          <w:p>
            <w:pPr>
              <w:pStyle w:val="2"/>
              <w:rPr>
                <w:rFonts w:hint="eastAsia"/>
                <w:lang w:val="en-US" w:eastAsia="zh-CN"/>
              </w:rPr>
            </w:pP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县民政局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县残疾人联合会、县教育局、县司法局、县人力资源和社会保障局、县住房和城乡建设局、县卫生健康局、县水利局、县医疗保障局、县综合行政执法局、各乡（镇）人民政府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487" w:hRule="atLeast"/>
        </w:trPr>
        <w:tc>
          <w:tcPr>
            <w:tcW w:w="576" w:type="pct"/>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七</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聚焦安全发展，持之以恒守住稳定底线</w:t>
            </w: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25</w:t>
            </w:r>
            <w:r>
              <w:rPr>
                <w:rFonts w:hint="eastAsia" w:ascii="仿宋_GB2312" w:hAnsi="仿宋_GB2312" w:eastAsia="仿宋_GB2312" w:cs="仿宋_GB2312"/>
                <w:color w:val="auto"/>
                <w:sz w:val="24"/>
                <w:szCs w:val="24"/>
                <w:vertAlign w:val="baseline"/>
                <w:lang w:val="en-US" w:eastAsia="zh-CN"/>
              </w:rPr>
              <w:t>．持续维护社会大局安全稳定。坚持底线思维，统筹抓好生态和安全，全力推进安全绿色发展，持续维护社会大局安全稳定。坚持“负债有度、量入为出、收支平衡”原则，从严从紧管好县属国有企业经营性债务，全力推动隐性债务规模、政府性债务率、债务融资成本“三下降”，稳步推进债务化解工作，守住不发生系统性风险底线。严格落实经济领域意识形态工作责任制，加强经济宣传和舆论引导，唱响全县经济发展主旋律</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严秋杰</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县公安局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县委政法委、县财政局、县信访局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422" w:hRule="atLeast"/>
        </w:trPr>
        <w:tc>
          <w:tcPr>
            <w:tcW w:w="57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26</w:t>
            </w:r>
            <w:r>
              <w:rPr>
                <w:rFonts w:hint="eastAsia" w:ascii="仿宋_GB2312" w:hAnsi="仿宋_GB2312" w:eastAsia="仿宋_GB2312" w:cs="仿宋_GB2312"/>
                <w:color w:val="auto"/>
                <w:sz w:val="24"/>
                <w:szCs w:val="24"/>
                <w:vertAlign w:val="baseline"/>
                <w:lang w:val="en-US" w:eastAsia="zh-CN"/>
              </w:rPr>
              <w:t>．共建共治共享社会治理。坚决守住安全底线，严格执行国务院安委会安全生产“十五条”硬措施，深化重点领域隐患排查整治，坚决防范遏制较大以上事故发生。完善防灾减灾救灾体系，提高自然灾害防御应对能力。常态化开展扫黑除恶斗争，严厉打击群众反映强烈的电信诈骗、黄赌毒、盗抢骗、食药环等违法犯罪活动，力争群众安全感、满意度提档进位。坚持和发展新时代“枫桥经验”，把各类矛盾纠纷和信访问题排查化解在基层在源头。进一步挖掘“融议心安”屯级议事协商模式应用，培育更多基层社会治理精品村屯和实践案例，提升融安基层治理质效。广泛开展民主法治示范村（社区）创建，大力实施“法律明白人”培养工程。合理规划培养村级后备力量结构，为下一轮村“两委”换届工作奠定坚实基础</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严秋杰</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县公安局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县委政法委、县委统战部、县委组织部、县</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委</w:t>
            </w:r>
            <w:r>
              <w:rPr>
                <w:rFonts w:hint="eastAsia" w:ascii="仿宋_GB2312" w:hAnsi="仿宋_GB2312" w:eastAsia="仿宋_GB2312" w:cs="仿宋_GB2312"/>
                <w:color w:val="auto"/>
                <w:sz w:val="24"/>
                <w:szCs w:val="24"/>
                <w:vertAlign w:val="baseline"/>
                <w:lang w:val="en-US" w:eastAsia="zh-CN"/>
              </w:rPr>
              <w:t>社会工作部、县司法局、县财政局、县交通运输局、县水利局、县退役军人事务局、县应急管理局、县市场监督管理局、县信访局、县消防救援大队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401" w:hRule="atLeast"/>
        </w:trPr>
        <w:tc>
          <w:tcPr>
            <w:tcW w:w="57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七</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kern w:val="0"/>
                <w:sz w:val="24"/>
                <w:szCs w:val="24"/>
                <w:u w:val="none"/>
                <w:lang w:val="en-US" w:eastAsia="zh-CN" w:bidi="ar"/>
              </w:rPr>
              <w:t>聚焦安全发展，持之以恒守住稳定底线</w:t>
            </w: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27</w:t>
            </w:r>
            <w:r>
              <w:rPr>
                <w:rFonts w:hint="eastAsia" w:ascii="仿宋_GB2312" w:hAnsi="仿宋_GB2312" w:eastAsia="仿宋_GB2312" w:cs="仿宋_GB2312"/>
                <w:color w:val="auto"/>
                <w:sz w:val="24"/>
                <w:szCs w:val="24"/>
                <w:vertAlign w:val="baseline"/>
                <w:lang w:val="en-US" w:eastAsia="zh-CN"/>
              </w:rPr>
              <w:t>．强化生态环境质量提升。坚决守住生态安全底线，扎实做好中央和自治区生态环境保护督察反馈问题整改工作。全力打好蓝天碧水净土三大保卫战，全年空气质量优良率达</w:t>
            </w:r>
            <w:r>
              <w:rPr>
                <w:rFonts w:hint="default" w:ascii="Times New Roman" w:hAnsi="Times New Roman" w:eastAsia="仿宋_GB2312" w:cs="Times New Roman"/>
                <w:color w:val="auto"/>
                <w:sz w:val="24"/>
                <w:szCs w:val="24"/>
                <w:vertAlign w:val="baseline"/>
                <w:lang w:val="en-US" w:eastAsia="zh-CN"/>
              </w:rPr>
              <w:t>96%</w:t>
            </w:r>
            <w:r>
              <w:rPr>
                <w:rFonts w:hint="eastAsia" w:ascii="仿宋_GB2312" w:hAnsi="仿宋_GB2312" w:eastAsia="仿宋_GB2312" w:cs="仿宋_GB2312"/>
                <w:color w:val="auto"/>
                <w:sz w:val="24"/>
                <w:szCs w:val="24"/>
                <w:vertAlign w:val="baseline"/>
                <w:lang w:val="en-US" w:eastAsia="zh-CN"/>
              </w:rPr>
              <w:t>以上，继续保持融江、浪溪江断面水质全国第一，受污染耕地安全利用率达</w:t>
            </w:r>
            <w:r>
              <w:rPr>
                <w:rFonts w:hint="default" w:ascii="Times New Roman" w:hAnsi="Times New Roman" w:eastAsia="仿宋_GB2312" w:cs="Times New Roman"/>
                <w:color w:val="auto"/>
                <w:sz w:val="24"/>
                <w:szCs w:val="24"/>
                <w:vertAlign w:val="baseline"/>
                <w:lang w:val="en-US" w:eastAsia="zh-CN"/>
              </w:rPr>
              <w:t>93%</w:t>
            </w:r>
            <w:r>
              <w:rPr>
                <w:rFonts w:hint="eastAsia" w:ascii="仿宋_GB2312" w:hAnsi="仿宋_GB2312" w:eastAsia="仿宋_GB2312" w:cs="仿宋_GB2312"/>
                <w:color w:val="auto"/>
                <w:sz w:val="24"/>
                <w:szCs w:val="24"/>
                <w:vertAlign w:val="baseline"/>
                <w:lang w:val="en-US" w:eastAsia="zh-CN"/>
              </w:rPr>
              <w:t>以上、重点建设用地安全利用率达</w:t>
            </w:r>
            <w:r>
              <w:rPr>
                <w:rFonts w:hint="default" w:ascii="Times New Roman" w:hAnsi="Times New Roman" w:eastAsia="仿宋_GB2312" w:cs="Times New Roman"/>
                <w:color w:val="auto"/>
                <w:sz w:val="24"/>
                <w:szCs w:val="24"/>
                <w:vertAlign w:val="baseline"/>
                <w:lang w:val="en-US" w:eastAsia="zh-CN"/>
              </w:rPr>
              <w:t>100%</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廖鹏翔</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融安生态环境局</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县自然资源和规划局、县住房和城乡建设局、县农业农村局、县水利局、县林业局、县综合行政执法局、各乡（镇）人民政府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357" w:hRule="atLeast"/>
        </w:trPr>
        <w:tc>
          <w:tcPr>
            <w:tcW w:w="576" w:type="pct"/>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spacing w:val="-11"/>
                <w:kern w:val="0"/>
                <w:sz w:val="24"/>
                <w:szCs w:val="24"/>
                <w:u w:val="none"/>
                <w:lang w:val="en-US" w:eastAsia="zh-CN" w:bidi="ar"/>
              </w:rPr>
              <w:t>八</w:t>
            </w:r>
            <w:r>
              <w:rPr>
                <w:rFonts w:hint="eastAsia" w:ascii="仿宋_GB2312" w:hAnsi="仿宋_GB2312" w:eastAsia="仿宋_GB2312" w:cs="仿宋_GB2312"/>
                <w:i w:val="0"/>
                <w:color w:val="auto"/>
                <w:spacing w:val="-11"/>
                <w:kern w:val="0"/>
                <w:sz w:val="24"/>
                <w:szCs w:val="24"/>
                <w:u w:val="none"/>
                <w:lang w:val="en-US" w:eastAsia="zh-CN" w:bidi="ar"/>
              </w:rPr>
              <w:t>、</w:t>
            </w:r>
            <w:r>
              <w:rPr>
                <w:rFonts w:hint="eastAsia" w:ascii="黑体" w:hAnsi="黑体" w:eastAsia="黑体" w:cs="黑体"/>
                <w:i w:val="0"/>
                <w:color w:val="auto"/>
                <w:spacing w:val="-11"/>
                <w:kern w:val="0"/>
                <w:sz w:val="24"/>
                <w:szCs w:val="24"/>
                <w:u w:val="none"/>
                <w:lang w:val="en-US" w:eastAsia="zh-CN" w:bidi="ar"/>
              </w:rPr>
              <w:t>着力加强政府自身建设</w:t>
            </w: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28</w:t>
            </w:r>
            <w:r>
              <w:rPr>
                <w:rFonts w:hint="eastAsia" w:ascii="仿宋_GB2312" w:hAnsi="仿宋_GB2312" w:eastAsia="仿宋_GB2312" w:cs="仿宋_GB2312"/>
                <w:color w:val="auto"/>
                <w:sz w:val="24"/>
                <w:szCs w:val="24"/>
                <w:vertAlign w:val="baseline"/>
                <w:lang w:val="en-US" w:eastAsia="zh-CN"/>
              </w:rPr>
              <w:t>．强化政治引领，对党绝对忠诚。全面学习把握落实党的二十届三中全会精神，深学细悟笃行习近平新时代中国特色社会主义思想，拥护“两个确立”，践行“两个维护”，始终同党中央保持高度一致。坚决做到对党忠诚，自觉把政府工作置于党的领导之下，全面履行政府职能，确保市委、市政府和县委各项决策部署落地生根、开花结果</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莫慧明</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县人民政府办公室</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各乡（镇）人民政府、县直各单位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472" w:hRule="atLeast"/>
        </w:trPr>
        <w:tc>
          <w:tcPr>
            <w:tcW w:w="57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29</w:t>
            </w:r>
            <w:r>
              <w:rPr>
                <w:rFonts w:hint="eastAsia" w:ascii="仿宋_GB2312" w:hAnsi="仿宋_GB2312" w:eastAsia="仿宋_GB2312" w:cs="仿宋_GB2312"/>
                <w:color w:val="auto"/>
                <w:sz w:val="24"/>
                <w:szCs w:val="24"/>
                <w:vertAlign w:val="baseline"/>
                <w:lang w:val="en-US" w:eastAsia="zh-CN"/>
              </w:rPr>
              <w:t>．强化法治建设，严格依法行政。深化学习贯彻习近平法治思想，不断增强领导干部“关键少数”的法治意识。深入推进依法行政，加快法治政府建设步伐，严格落实重大行政决策程序，依法做好行政规范性文件审核和备案审查工作。完善行政执法机制和程序，加强行政执法监督，提高行政执法质量。紧抓“两降一升”工作，提升诉调对接效能</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莫慧明</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县人民政府办公室</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6"/>
                <w:sz w:val="24"/>
                <w:szCs w:val="24"/>
                <w:vertAlign w:val="baseline"/>
                <w:lang w:val="en-US" w:eastAsia="zh-CN"/>
              </w:rPr>
              <w:t>县司法局、各乡（镇）人民政府、县直各单位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545" w:hRule="atLeast"/>
        </w:trPr>
        <w:tc>
          <w:tcPr>
            <w:tcW w:w="576" w:type="pct"/>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八</w:t>
            </w:r>
            <w:r>
              <w:rPr>
                <w:rFonts w:hint="eastAsia" w:ascii="仿宋_GB2312" w:hAnsi="仿宋_GB2312" w:eastAsia="仿宋_GB2312" w:cs="仿宋_GB2312"/>
                <w:i w:val="0"/>
                <w:color w:val="auto"/>
                <w:kern w:val="0"/>
                <w:sz w:val="24"/>
                <w:szCs w:val="24"/>
                <w:u w:val="none"/>
                <w:lang w:val="en-US" w:eastAsia="zh-CN" w:bidi="ar"/>
              </w:rPr>
              <w:t>、</w:t>
            </w:r>
            <w:r>
              <w:rPr>
                <w:rFonts w:hint="eastAsia" w:ascii="黑体" w:hAnsi="黑体" w:eastAsia="黑体" w:cs="黑体"/>
                <w:i w:val="0"/>
                <w:color w:val="auto"/>
                <w:spacing w:val="-11"/>
                <w:kern w:val="0"/>
                <w:sz w:val="24"/>
                <w:szCs w:val="24"/>
                <w:u w:val="none"/>
                <w:lang w:val="en-US" w:eastAsia="zh-CN" w:bidi="ar"/>
              </w:rPr>
              <w:t>着力加强政府自身建设</w:t>
            </w: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30</w:t>
            </w:r>
            <w:r>
              <w:rPr>
                <w:rFonts w:hint="eastAsia" w:ascii="仿宋_GB2312" w:hAnsi="仿宋_GB2312" w:eastAsia="仿宋_GB2312" w:cs="仿宋_GB2312"/>
                <w:color w:val="auto"/>
                <w:sz w:val="24"/>
                <w:szCs w:val="24"/>
                <w:vertAlign w:val="baseline"/>
                <w:lang w:val="en-US" w:eastAsia="zh-CN"/>
              </w:rPr>
              <w:t>．强化宗旨意识，践行为民初心。忠诚践行党的群众路线，树牢以人民为中心的发展思想，强化公仆意识、责任意识、效率意识，用心用情解决群众身边的操心事、烦心事、揪心事，做到“民有所呼、政有所应”。坚持志不求易、事不避难，大力弘扬“马上就办、真抓实干”的工作作风，勇于走出“舒适区”，主动投身“服务区”，大力推行一线工作法，开短会、讲短话、发短文，把更多时间精力用在为民服务上、放在高效落实上</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莫慧明</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县人民政府办公室</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各乡（镇）人民政府、县直各单位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436" w:hRule="atLeast"/>
        </w:trPr>
        <w:tc>
          <w:tcPr>
            <w:tcW w:w="57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31</w:t>
            </w:r>
            <w:r>
              <w:rPr>
                <w:rFonts w:hint="eastAsia" w:ascii="仿宋_GB2312" w:hAnsi="仿宋_GB2312" w:eastAsia="仿宋_GB2312" w:cs="仿宋_GB2312"/>
                <w:color w:val="auto"/>
                <w:sz w:val="24"/>
                <w:szCs w:val="24"/>
                <w:vertAlign w:val="baseline"/>
                <w:lang w:val="en-US" w:eastAsia="zh-CN"/>
              </w:rPr>
              <w:t>．强化勤政务实，积极干事创业。始终把明职责、提能力、抓落实作为政府工作生命线，大力倡导真抓实干、雷厉风行、一抓到底的工作作风，以实干实绩实效推动出新出彩出众。健全闭环管理、考核奖惩、容错纠错机制，旗帜鲜明为担当者担当，对实绩突出的大力褒奖，对工作不力的约谈诫勉，对为官不为、懒政怠政的公开曝光、坚决追责，让“躺平”无立足之地，让落实成为鲜明底色</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莫慧明</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县人民政府办公室</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各乡（镇）人民政府、县直各单位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402" w:hRule="atLeast"/>
        </w:trPr>
        <w:tc>
          <w:tcPr>
            <w:tcW w:w="57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olor w:val="auto"/>
                <w:kern w:val="0"/>
                <w:sz w:val="24"/>
                <w:szCs w:val="24"/>
                <w:u w:val="none"/>
                <w:lang w:val="en-US" w:eastAsia="zh-CN" w:bidi="ar"/>
              </w:rPr>
            </w:pPr>
          </w:p>
        </w:tc>
        <w:tc>
          <w:tcPr>
            <w:tcW w:w="258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32</w:t>
            </w:r>
            <w:r>
              <w:rPr>
                <w:rFonts w:hint="eastAsia" w:ascii="仿宋_GB2312" w:hAnsi="仿宋_GB2312" w:eastAsia="仿宋_GB2312" w:cs="仿宋_GB2312"/>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强化从严治政，永葆清正廉洁。始终保持“两个永远在路上”的清醒与坚定，认真贯彻落实中央八项规定精神及其实施细则，坚决整治形式主义、官僚主义。强化财政管理，加强项目绩效提质，牢固树立“过紧日子”思想，压缩政府机关一般性支出，将更多资金向保障发展和民生改善倾斜。全面落实党风廉政建设主体责任和“一岗双责”，保持正风肃纪高压态势，践行新时代好干部标准，树立勤勉务实、担当有为、清正廉洁的政府形象</w:t>
            </w:r>
          </w:p>
        </w:tc>
        <w:tc>
          <w:tcPr>
            <w:tcW w:w="42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莫慧明</w:t>
            </w:r>
          </w:p>
        </w:tc>
        <w:tc>
          <w:tcPr>
            <w:tcW w:w="5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县人民政府办公室</w:t>
            </w:r>
          </w:p>
        </w:tc>
        <w:tc>
          <w:tcPr>
            <w:tcW w:w="862"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各乡（镇）人民政府、县直各单位</w:t>
            </w:r>
          </w:p>
        </w:tc>
      </w:tr>
    </w:tbl>
    <w:p>
      <w:pPr>
        <w:pStyle w:val="3"/>
        <w:ind w:left="0" w:leftChars="0" w:firstLine="0" w:firstLineChars="0"/>
        <w:rPr>
          <w:rFonts w:hint="default"/>
          <w:lang w:val="en-US" w:eastAsia="zh-CN"/>
        </w:rPr>
        <w:sectPr>
          <w:footerReference r:id="rId3" w:type="default"/>
          <w:pgSz w:w="16838" w:h="11906" w:orient="landscape"/>
          <w:pgMar w:top="1587" w:right="2098" w:bottom="1474" w:left="1984" w:header="851" w:footer="992" w:gutter="0"/>
          <w:pgNumType w:fmt="decimal"/>
          <w:cols w:space="720" w:num="1"/>
          <w:docGrid w:type="lines" w:linePitch="312" w:charSpace="0"/>
        </w:sectPr>
      </w:pPr>
      <w:bookmarkStart w:id="0" w:name="_GoBack"/>
      <w:bookmarkEnd w:id="0"/>
    </w:p>
    <w:p>
      <w:pPr>
        <w:widowControl/>
        <w:tabs>
          <w:tab w:val="left" w:pos="8505"/>
        </w:tabs>
        <w:spacing w:line="440" w:lineRule="exact"/>
        <w:ind w:right="-334" w:rightChars="-159"/>
        <w:rPr>
          <w:rFonts w:hint="eastAsia"/>
          <w:lang w:val="en-US" w:eastAsia="zh-CN"/>
        </w:rPr>
      </w:pPr>
    </w:p>
    <w:sectPr>
      <w:footerReference r:id="rId4" w:type="default"/>
      <w:pgSz w:w="11906" w:h="16838"/>
      <w:pgMar w:top="2098" w:right="1474" w:bottom="1984" w:left="1587" w:header="850"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auto"/>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Tahoma">
    <w:altName w:val="DejaVu Sans"/>
    <w:panose1 w:val="020B0604030504040204"/>
    <w:charset w:val="00"/>
    <w:family w:val="auto"/>
    <w:pitch w:val="default"/>
    <w:sig w:usb0="00000000" w:usb1="00000000"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ILQwIcMBAABwAwAADgAAAAAAAAABACAA&#10;AAA0AQAAZHJzL2Uyb0RvYy54bWxQSwUGAAAAAAYABgBZAQAAaQUA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7852"/>
    <w:rsid w:val="00615EA1"/>
    <w:rsid w:val="00BC757B"/>
    <w:rsid w:val="011E3D92"/>
    <w:rsid w:val="012E7893"/>
    <w:rsid w:val="01453A14"/>
    <w:rsid w:val="019957FB"/>
    <w:rsid w:val="01B841E6"/>
    <w:rsid w:val="01BF37C7"/>
    <w:rsid w:val="01FB0577"/>
    <w:rsid w:val="02412396"/>
    <w:rsid w:val="02753E85"/>
    <w:rsid w:val="02755FB4"/>
    <w:rsid w:val="029E5A65"/>
    <w:rsid w:val="02BE3A7E"/>
    <w:rsid w:val="02CD5A6F"/>
    <w:rsid w:val="02D31DF5"/>
    <w:rsid w:val="02F94AB6"/>
    <w:rsid w:val="031C69F7"/>
    <w:rsid w:val="033E696D"/>
    <w:rsid w:val="036D2DAF"/>
    <w:rsid w:val="037405E1"/>
    <w:rsid w:val="03A53B02"/>
    <w:rsid w:val="03B44E81"/>
    <w:rsid w:val="03D90444"/>
    <w:rsid w:val="03EA08A3"/>
    <w:rsid w:val="04090D29"/>
    <w:rsid w:val="040F3E66"/>
    <w:rsid w:val="041B6CAE"/>
    <w:rsid w:val="0422003D"/>
    <w:rsid w:val="042F4508"/>
    <w:rsid w:val="044C0C16"/>
    <w:rsid w:val="046D71A3"/>
    <w:rsid w:val="048204D9"/>
    <w:rsid w:val="04C87E66"/>
    <w:rsid w:val="04FF212C"/>
    <w:rsid w:val="052120A3"/>
    <w:rsid w:val="05524952"/>
    <w:rsid w:val="057448C8"/>
    <w:rsid w:val="05860158"/>
    <w:rsid w:val="05D90BCF"/>
    <w:rsid w:val="0627337D"/>
    <w:rsid w:val="064A58D9"/>
    <w:rsid w:val="064F2C3F"/>
    <w:rsid w:val="065149C8"/>
    <w:rsid w:val="06CC603E"/>
    <w:rsid w:val="06CE625A"/>
    <w:rsid w:val="06DC2725"/>
    <w:rsid w:val="072357CC"/>
    <w:rsid w:val="07293490"/>
    <w:rsid w:val="07322345"/>
    <w:rsid w:val="073E518E"/>
    <w:rsid w:val="07F615C4"/>
    <w:rsid w:val="080821A6"/>
    <w:rsid w:val="08123F24"/>
    <w:rsid w:val="087E15BA"/>
    <w:rsid w:val="09A6526C"/>
    <w:rsid w:val="09E97995"/>
    <w:rsid w:val="09F064E7"/>
    <w:rsid w:val="09FB1114"/>
    <w:rsid w:val="0A777490"/>
    <w:rsid w:val="0ADD081A"/>
    <w:rsid w:val="0AE4604C"/>
    <w:rsid w:val="0AFD0EBC"/>
    <w:rsid w:val="0B106E41"/>
    <w:rsid w:val="0B5C5BE2"/>
    <w:rsid w:val="0BAF58A2"/>
    <w:rsid w:val="0C0D15D3"/>
    <w:rsid w:val="0C41127C"/>
    <w:rsid w:val="0C5C7E64"/>
    <w:rsid w:val="0C803B53"/>
    <w:rsid w:val="0C923886"/>
    <w:rsid w:val="0D1B1BBB"/>
    <w:rsid w:val="0D5A0848"/>
    <w:rsid w:val="0D5D5C42"/>
    <w:rsid w:val="0D6E811A"/>
    <w:rsid w:val="0D766D04"/>
    <w:rsid w:val="0D9308F8"/>
    <w:rsid w:val="0DBF68FD"/>
    <w:rsid w:val="0DC777E8"/>
    <w:rsid w:val="0DD57ECE"/>
    <w:rsid w:val="0DF93BBD"/>
    <w:rsid w:val="0E5232CD"/>
    <w:rsid w:val="0E552DBD"/>
    <w:rsid w:val="0E6C0832"/>
    <w:rsid w:val="0E8F472D"/>
    <w:rsid w:val="0E8F62CF"/>
    <w:rsid w:val="0EFE3455"/>
    <w:rsid w:val="0F1A402A"/>
    <w:rsid w:val="0F362BEE"/>
    <w:rsid w:val="0F473047"/>
    <w:rsid w:val="0F5437A4"/>
    <w:rsid w:val="0F693D05"/>
    <w:rsid w:val="0F707EAE"/>
    <w:rsid w:val="0F7B6853"/>
    <w:rsid w:val="0F7D6A6F"/>
    <w:rsid w:val="0F8C280E"/>
    <w:rsid w:val="0F9067A2"/>
    <w:rsid w:val="0F977B31"/>
    <w:rsid w:val="0FBA737B"/>
    <w:rsid w:val="0FD3BEF2"/>
    <w:rsid w:val="0FD50659"/>
    <w:rsid w:val="0FF339D1"/>
    <w:rsid w:val="104A6951"/>
    <w:rsid w:val="104B26C9"/>
    <w:rsid w:val="10727C56"/>
    <w:rsid w:val="108856CC"/>
    <w:rsid w:val="10A818CA"/>
    <w:rsid w:val="11036B00"/>
    <w:rsid w:val="11162CD7"/>
    <w:rsid w:val="1182036D"/>
    <w:rsid w:val="11906F3A"/>
    <w:rsid w:val="11CC64D3"/>
    <w:rsid w:val="11EE155E"/>
    <w:rsid w:val="11FD79F3"/>
    <w:rsid w:val="121C60CC"/>
    <w:rsid w:val="12235B83"/>
    <w:rsid w:val="123F13C6"/>
    <w:rsid w:val="12486EC1"/>
    <w:rsid w:val="12850115"/>
    <w:rsid w:val="129E11D6"/>
    <w:rsid w:val="13013A9E"/>
    <w:rsid w:val="13385187"/>
    <w:rsid w:val="135B443E"/>
    <w:rsid w:val="137D2B9A"/>
    <w:rsid w:val="138B16BD"/>
    <w:rsid w:val="13F07810"/>
    <w:rsid w:val="14691987"/>
    <w:rsid w:val="14C02644"/>
    <w:rsid w:val="14C64A14"/>
    <w:rsid w:val="14CA62B3"/>
    <w:rsid w:val="14D233B9"/>
    <w:rsid w:val="14D507B4"/>
    <w:rsid w:val="14DE3B0C"/>
    <w:rsid w:val="150A2B53"/>
    <w:rsid w:val="15121A08"/>
    <w:rsid w:val="15485429"/>
    <w:rsid w:val="15BFFF56"/>
    <w:rsid w:val="15D1541F"/>
    <w:rsid w:val="15DE44DF"/>
    <w:rsid w:val="15EDB08D"/>
    <w:rsid w:val="16002E0D"/>
    <w:rsid w:val="16461969"/>
    <w:rsid w:val="168D57EA"/>
    <w:rsid w:val="17116AD4"/>
    <w:rsid w:val="171F4A60"/>
    <w:rsid w:val="1723614E"/>
    <w:rsid w:val="173C6014"/>
    <w:rsid w:val="17C90AA4"/>
    <w:rsid w:val="17EA0A1A"/>
    <w:rsid w:val="1844012A"/>
    <w:rsid w:val="18E52D16"/>
    <w:rsid w:val="195E6FCA"/>
    <w:rsid w:val="1977113D"/>
    <w:rsid w:val="19805AE6"/>
    <w:rsid w:val="19866520"/>
    <w:rsid w:val="19BB441C"/>
    <w:rsid w:val="1A27558E"/>
    <w:rsid w:val="1A2F6BB8"/>
    <w:rsid w:val="1A4E4600"/>
    <w:rsid w:val="1A670100"/>
    <w:rsid w:val="1A75281D"/>
    <w:rsid w:val="1A952EBF"/>
    <w:rsid w:val="1AAE3F81"/>
    <w:rsid w:val="1ACE62BE"/>
    <w:rsid w:val="1AE23C2A"/>
    <w:rsid w:val="1B0F0EC3"/>
    <w:rsid w:val="1B3D23E2"/>
    <w:rsid w:val="1B851185"/>
    <w:rsid w:val="1C4F52EF"/>
    <w:rsid w:val="1C7A6810"/>
    <w:rsid w:val="1CDC4DD5"/>
    <w:rsid w:val="1CDF0421"/>
    <w:rsid w:val="1D061E52"/>
    <w:rsid w:val="1D1125A5"/>
    <w:rsid w:val="1D8334A3"/>
    <w:rsid w:val="1DA67191"/>
    <w:rsid w:val="1DB00010"/>
    <w:rsid w:val="1DCD2970"/>
    <w:rsid w:val="1DD27F86"/>
    <w:rsid w:val="1E3D5D47"/>
    <w:rsid w:val="1E8474D2"/>
    <w:rsid w:val="1E9A6CF6"/>
    <w:rsid w:val="1EAE09F3"/>
    <w:rsid w:val="1EE371AA"/>
    <w:rsid w:val="1EFB52BB"/>
    <w:rsid w:val="1F226CEB"/>
    <w:rsid w:val="1F2B3DF2"/>
    <w:rsid w:val="1F721A21"/>
    <w:rsid w:val="1FB77434"/>
    <w:rsid w:val="1FFF83B5"/>
    <w:rsid w:val="20112FE8"/>
    <w:rsid w:val="201A79C2"/>
    <w:rsid w:val="20607ACB"/>
    <w:rsid w:val="207B4905"/>
    <w:rsid w:val="20847C5E"/>
    <w:rsid w:val="208E4638"/>
    <w:rsid w:val="20AF45AF"/>
    <w:rsid w:val="20D34741"/>
    <w:rsid w:val="20D65FDF"/>
    <w:rsid w:val="20F46465"/>
    <w:rsid w:val="21134B3E"/>
    <w:rsid w:val="21751354"/>
    <w:rsid w:val="21A63C04"/>
    <w:rsid w:val="21FC7CC7"/>
    <w:rsid w:val="222D1C2F"/>
    <w:rsid w:val="222F5C4D"/>
    <w:rsid w:val="2245341D"/>
    <w:rsid w:val="22525B39"/>
    <w:rsid w:val="2268710B"/>
    <w:rsid w:val="22A2261D"/>
    <w:rsid w:val="22A55C69"/>
    <w:rsid w:val="22BB548D"/>
    <w:rsid w:val="22BE6D2B"/>
    <w:rsid w:val="22E6DAE7"/>
    <w:rsid w:val="2369313B"/>
    <w:rsid w:val="23812232"/>
    <w:rsid w:val="23887A65"/>
    <w:rsid w:val="238B4E5F"/>
    <w:rsid w:val="239C706C"/>
    <w:rsid w:val="242670A4"/>
    <w:rsid w:val="245B6F27"/>
    <w:rsid w:val="24773635"/>
    <w:rsid w:val="24A26904"/>
    <w:rsid w:val="24C04FDC"/>
    <w:rsid w:val="251247E7"/>
    <w:rsid w:val="25213E48"/>
    <w:rsid w:val="25341526"/>
    <w:rsid w:val="256B319A"/>
    <w:rsid w:val="2584600A"/>
    <w:rsid w:val="25973F8F"/>
    <w:rsid w:val="25F807A6"/>
    <w:rsid w:val="26906C30"/>
    <w:rsid w:val="2694227D"/>
    <w:rsid w:val="26F7127B"/>
    <w:rsid w:val="26F947D6"/>
    <w:rsid w:val="27533EE6"/>
    <w:rsid w:val="28894FF8"/>
    <w:rsid w:val="28C50E13"/>
    <w:rsid w:val="2916166F"/>
    <w:rsid w:val="292024ED"/>
    <w:rsid w:val="29451F54"/>
    <w:rsid w:val="298011DE"/>
    <w:rsid w:val="299802D6"/>
    <w:rsid w:val="2A244EDE"/>
    <w:rsid w:val="2A7A3E7F"/>
    <w:rsid w:val="2AB4113F"/>
    <w:rsid w:val="2ABC4498"/>
    <w:rsid w:val="2ABE1FBE"/>
    <w:rsid w:val="2AFDCB2C"/>
    <w:rsid w:val="2B350611"/>
    <w:rsid w:val="2B3B716B"/>
    <w:rsid w:val="2B4C581C"/>
    <w:rsid w:val="2BEBA86D"/>
    <w:rsid w:val="2BEE242F"/>
    <w:rsid w:val="2BEFA9C0"/>
    <w:rsid w:val="2BF9E5C5"/>
    <w:rsid w:val="2BFF05ED"/>
    <w:rsid w:val="2C22675B"/>
    <w:rsid w:val="2C6B1CD2"/>
    <w:rsid w:val="2C7F577D"/>
    <w:rsid w:val="2CD42C03"/>
    <w:rsid w:val="2D2D51D9"/>
    <w:rsid w:val="2D502C75"/>
    <w:rsid w:val="2D5B6187"/>
    <w:rsid w:val="2DD218DC"/>
    <w:rsid w:val="2DF857E7"/>
    <w:rsid w:val="2DFD104F"/>
    <w:rsid w:val="2E261ADB"/>
    <w:rsid w:val="2E8E614B"/>
    <w:rsid w:val="2EC67693"/>
    <w:rsid w:val="2EEA15D4"/>
    <w:rsid w:val="2EF30B0C"/>
    <w:rsid w:val="2F3A0A5D"/>
    <w:rsid w:val="2F6F2DEA"/>
    <w:rsid w:val="2F837332"/>
    <w:rsid w:val="2F884982"/>
    <w:rsid w:val="2FC5794B"/>
    <w:rsid w:val="2FD22068"/>
    <w:rsid w:val="2FDB716E"/>
    <w:rsid w:val="2FF782AE"/>
    <w:rsid w:val="30161F54"/>
    <w:rsid w:val="303A18C0"/>
    <w:rsid w:val="306B6744"/>
    <w:rsid w:val="307D72E2"/>
    <w:rsid w:val="31286F6B"/>
    <w:rsid w:val="313E5D03"/>
    <w:rsid w:val="31586B7F"/>
    <w:rsid w:val="3160503C"/>
    <w:rsid w:val="3163741B"/>
    <w:rsid w:val="316D0542"/>
    <w:rsid w:val="3173027B"/>
    <w:rsid w:val="317B29B7"/>
    <w:rsid w:val="31813D45"/>
    <w:rsid w:val="31CC4FC0"/>
    <w:rsid w:val="329830F5"/>
    <w:rsid w:val="32A23F73"/>
    <w:rsid w:val="32EC3440"/>
    <w:rsid w:val="32F83B93"/>
    <w:rsid w:val="33A12D31"/>
    <w:rsid w:val="34327989"/>
    <w:rsid w:val="34334E3E"/>
    <w:rsid w:val="34B65AB4"/>
    <w:rsid w:val="34CC52D7"/>
    <w:rsid w:val="352C5D76"/>
    <w:rsid w:val="358B3826"/>
    <w:rsid w:val="35A149B6"/>
    <w:rsid w:val="35BB5A78"/>
    <w:rsid w:val="36147CAD"/>
    <w:rsid w:val="361651B5"/>
    <w:rsid w:val="36394BEF"/>
    <w:rsid w:val="3657A992"/>
    <w:rsid w:val="369C2C78"/>
    <w:rsid w:val="36AC62D8"/>
    <w:rsid w:val="36F17277"/>
    <w:rsid w:val="3715740A"/>
    <w:rsid w:val="37180CA8"/>
    <w:rsid w:val="375F0685"/>
    <w:rsid w:val="37712166"/>
    <w:rsid w:val="37F30DCD"/>
    <w:rsid w:val="389A274D"/>
    <w:rsid w:val="38CC7F9C"/>
    <w:rsid w:val="38D010CC"/>
    <w:rsid w:val="38E01351"/>
    <w:rsid w:val="38F70A47"/>
    <w:rsid w:val="39363667"/>
    <w:rsid w:val="394F0285"/>
    <w:rsid w:val="397E2667"/>
    <w:rsid w:val="3995213C"/>
    <w:rsid w:val="39CE564E"/>
    <w:rsid w:val="39D709A6"/>
    <w:rsid w:val="39ED1F78"/>
    <w:rsid w:val="3A557B1D"/>
    <w:rsid w:val="3A5F44EA"/>
    <w:rsid w:val="3A766411"/>
    <w:rsid w:val="3A8C79E3"/>
    <w:rsid w:val="3A8E7641"/>
    <w:rsid w:val="3AAC1E33"/>
    <w:rsid w:val="3AD66EB0"/>
    <w:rsid w:val="3BE178BA"/>
    <w:rsid w:val="3BE30944"/>
    <w:rsid w:val="3C7626F9"/>
    <w:rsid w:val="3CA46597"/>
    <w:rsid w:val="3D1837B0"/>
    <w:rsid w:val="3D9848F1"/>
    <w:rsid w:val="3DEFE217"/>
    <w:rsid w:val="3DFFBBBD"/>
    <w:rsid w:val="3E3F2FBE"/>
    <w:rsid w:val="3E5500EC"/>
    <w:rsid w:val="3E7762B4"/>
    <w:rsid w:val="3EAA6689"/>
    <w:rsid w:val="3EAB0813"/>
    <w:rsid w:val="3EAB2402"/>
    <w:rsid w:val="3EAD617A"/>
    <w:rsid w:val="3ECF4342"/>
    <w:rsid w:val="3F0044FB"/>
    <w:rsid w:val="3F057D64"/>
    <w:rsid w:val="3F134951"/>
    <w:rsid w:val="3F1B30E3"/>
    <w:rsid w:val="3F5B7984"/>
    <w:rsid w:val="3F6FFC36"/>
    <w:rsid w:val="3F780536"/>
    <w:rsid w:val="3FA147E2"/>
    <w:rsid w:val="3FCD295D"/>
    <w:rsid w:val="3FD634AE"/>
    <w:rsid w:val="3FD92D9F"/>
    <w:rsid w:val="3FDE2096"/>
    <w:rsid w:val="3FF1101D"/>
    <w:rsid w:val="3FF73B50"/>
    <w:rsid w:val="3FFFC8C1"/>
    <w:rsid w:val="400C5122"/>
    <w:rsid w:val="407D392A"/>
    <w:rsid w:val="40C833DC"/>
    <w:rsid w:val="41211FBB"/>
    <w:rsid w:val="417B2021"/>
    <w:rsid w:val="41941726"/>
    <w:rsid w:val="4253528A"/>
    <w:rsid w:val="42646E38"/>
    <w:rsid w:val="42D81056"/>
    <w:rsid w:val="43D736D0"/>
    <w:rsid w:val="43E97C54"/>
    <w:rsid w:val="43F81C45"/>
    <w:rsid w:val="445F7F16"/>
    <w:rsid w:val="446F6F84"/>
    <w:rsid w:val="447C0AC8"/>
    <w:rsid w:val="44C63AF1"/>
    <w:rsid w:val="44E73A68"/>
    <w:rsid w:val="458A4B1F"/>
    <w:rsid w:val="464F7B16"/>
    <w:rsid w:val="468C0D6B"/>
    <w:rsid w:val="46E22739"/>
    <w:rsid w:val="46EE5581"/>
    <w:rsid w:val="47290367"/>
    <w:rsid w:val="47705F96"/>
    <w:rsid w:val="477535AD"/>
    <w:rsid w:val="477737C9"/>
    <w:rsid w:val="47D6229D"/>
    <w:rsid w:val="4803065F"/>
    <w:rsid w:val="48480CC1"/>
    <w:rsid w:val="48B9571B"/>
    <w:rsid w:val="492267C1"/>
    <w:rsid w:val="49370038"/>
    <w:rsid w:val="494F39A6"/>
    <w:rsid w:val="495C2C76"/>
    <w:rsid w:val="499917D4"/>
    <w:rsid w:val="49997A26"/>
    <w:rsid w:val="499C7517"/>
    <w:rsid w:val="49CC7DFC"/>
    <w:rsid w:val="49E36EF3"/>
    <w:rsid w:val="4A606796"/>
    <w:rsid w:val="4A80578F"/>
    <w:rsid w:val="4AC5484B"/>
    <w:rsid w:val="4AEC1DD8"/>
    <w:rsid w:val="4AF320B9"/>
    <w:rsid w:val="4B5C6F5D"/>
    <w:rsid w:val="4BD9235C"/>
    <w:rsid w:val="4BEC277D"/>
    <w:rsid w:val="4BF4A78D"/>
    <w:rsid w:val="4C1635B0"/>
    <w:rsid w:val="4C6D519A"/>
    <w:rsid w:val="4C8449BE"/>
    <w:rsid w:val="4C9E35A6"/>
    <w:rsid w:val="4CA706AC"/>
    <w:rsid w:val="4D0478AD"/>
    <w:rsid w:val="4D477799"/>
    <w:rsid w:val="4D564E3E"/>
    <w:rsid w:val="4DAE6043"/>
    <w:rsid w:val="4DD96F98"/>
    <w:rsid w:val="4E6A1991"/>
    <w:rsid w:val="4E8A3DE2"/>
    <w:rsid w:val="4EB86BA1"/>
    <w:rsid w:val="4F0E503E"/>
    <w:rsid w:val="4F4E4E0F"/>
    <w:rsid w:val="4F560C6F"/>
    <w:rsid w:val="4F5A7C58"/>
    <w:rsid w:val="4F7D3946"/>
    <w:rsid w:val="4F9F566B"/>
    <w:rsid w:val="4FBE0E99"/>
    <w:rsid w:val="4FD23C92"/>
    <w:rsid w:val="4FDA66A3"/>
    <w:rsid w:val="50574197"/>
    <w:rsid w:val="50A92A8E"/>
    <w:rsid w:val="50B1385B"/>
    <w:rsid w:val="50E84DEF"/>
    <w:rsid w:val="50F60053"/>
    <w:rsid w:val="5134057D"/>
    <w:rsid w:val="51652A36"/>
    <w:rsid w:val="51CB2747"/>
    <w:rsid w:val="51DB6702"/>
    <w:rsid w:val="51DF2696"/>
    <w:rsid w:val="51F779E0"/>
    <w:rsid w:val="5248023B"/>
    <w:rsid w:val="52641060"/>
    <w:rsid w:val="52A82A88"/>
    <w:rsid w:val="52AF61C6"/>
    <w:rsid w:val="52E977E7"/>
    <w:rsid w:val="530B42C2"/>
    <w:rsid w:val="532145E9"/>
    <w:rsid w:val="5334256E"/>
    <w:rsid w:val="533B1B4E"/>
    <w:rsid w:val="53B51901"/>
    <w:rsid w:val="53E61ABA"/>
    <w:rsid w:val="53FB0D48"/>
    <w:rsid w:val="542E16B3"/>
    <w:rsid w:val="544B5DC1"/>
    <w:rsid w:val="54C33BA9"/>
    <w:rsid w:val="54C35300"/>
    <w:rsid w:val="54F93A6F"/>
    <w:rsid w:val="55214D74"/>
    <w:rsid w:val="557B7A24"/>
    <w:rsid w:val="558E065B"/>
    <w:rsid w:val="55D27B78"/>
    <w:rsid w:val="55E92876"/>
    <w:rsid w:val="55F72946"/>
    <w:rsid w:val="55F751BB"/>
    <w:rsid w:val="5627460C"/>
    <w:rsid w:val="563805C7"/>
    <w:rsid w:val="56757125"/>
    <w:rsid w:val="56BE6D1E"/>
    <w:rsid w:val="56ED315F"/>
    <w:rsid w:val="56F95FA8"/>
    <w:rsid w:val="57193F55"/>
    <w:rsid w:val="57201787"/>
    <w:rsid w:val="572528F9"/>
    <w:rsid w:val="57E718ED"/>
    <w:rsid w:val="57FB5D50"/>
    <w:rsid w:val="58021001"/>
    <w:rsid w:val="58247055"/>
    <w:rsid w:val="58E02A3F"/>
    <w:rsid w:val="59091DA7"/>
    <w:rsid w:val="595B4CF8"/>
    <w:rsid w:val="596A6CE9"/>
    <w:rsid w:val="59D52D8E"/>
    <w:rsid w:val="5A00764E"/>
    <w:rsid w:val="5A04713E"/>
    <w:rsid w:val="5A1B4488"/>
    <w:rsid w:val="5A2E41BB"/>
    <w:rsid w:val="5AAD1584"/>
    <w:rsid w:val="5AE8436A"/>
    <w:rsid w:val="5B503CBD"/>
    <w:rsid w:val="5B735536"/>
    <w:rsid w:val="5BC353D2"/>
    <w:rsid w:val="5BFD84D1"/>
    <w:rsid w:val="5BFF0992"/>
    <w:rsid w:val="5BFF84B1"/>
    <w:rsid w:val="5C026CE7"/>
    <w:rsid w:val="5C142FE1"/>
    <w:rsid w:val="5C311D40"/>
    <w:rsid w:val="5C5F173A"/>
    <w:rsid w:val="5D3E4715"/>
    <w:rsid w:val="5D7F6ADB"/>
    <w:rsid w:val="5D881E34"/>
    <w:rsid w:val="5E912C90"/>
    <w:rsid w:val="5E9B7945"/>
    <w:rsid w:val="5EF05EE3"/>
    <w:rsid w:val="5F074DCA"/>
    <w:rsid w:val="5F092B01"/>
    <w:rsid w:val="5F4973A1"/>
    <w:rsid w:val="5F593A88"/>
    <w:rsid w:val="5F820D90"/>
    <w:rsid w:val="5F8F3BE9"/>
    <w:rsid w:val="5F93FC2B"/>
    <w:rsid w:val="5FC829BC"/>
    <w:rsid w:val="5FF85127"/>
    <w:rsid w:val="5FFF90C6"/>
    <w:rsid w:val="600C0AFA"/>
    <w:rsid w:val="60483AFC"/>
    <w:rsid w:val="605E50CE"/>
    <w:rsid w:val="60956D42"/>
    <w:rsid w:val="60B3565E"/>
    <w:rsid w:val="60DB227B"/>
    <w:rsid w:val="616218C1"/>
    <w:rsid w:val="617811FB"/>
    <w:rsid w:val="618835DC"/>
    <w:rsid w:val="61903065"/>
    <w:rsid w:val="61BC3E5A"/>
    <w:rsid w:val="62426A55"/>
    <w:rsid w:val="626C278F"/>
    <w:rsid w:val="62AF7E63"/>
    <w:rsid w:val="62D60F4C"/>
    <w:rsid w:val="62FB4E56"/>
    <w:rsid w:val="62FF66F4"/>
    <w:rsid w:val="631A52DC"/>
    <w:rsid w:val="63BB0B82"/>
    <w:rsid w:val="63D00091"/>
    <w:rsid w:val="63EB0A27"/>
    <w:rsid w:val="63FA510E"/>
    <w:rsid w:val="64033FC2"/>
    <w:rsid w:val="64162907"/>
    <w:rsid w:val="642B3519"/>
    <w:rsid w:val="647B7FFD"/>
    <w:rsid w:val="6488096B"/>
    <w:rsid w:val="64A05CB5"/>
    <w:rsid w:val="64B713E7"/>
    <w:rsid w:val="64E21E2A"/>
    <w:rsid w:val="651358A7"/>
    <w:rsid w:val="651830FD"/>
    <w:rsid w:val="654725D5"/>
    <w:rsid w:val="654E74BF"/>
    <w:rsid w:val="659F7D1B"/>
    <w:rsid w:val="65CFF39D"/>
    <w:rsid w:val="65FF07B9"/>
    <w:rsid w:val="66140709"/>
    <w:rsid w:val="662F72F1"/>
    <w:rsid w:val="66A7F2BF"/>
    <w:rsid w:val="670F7122"/>
    <w:rsid w:val="673E2094"/>
    <w:rsid w:val="6744501E"/>
    <w:rsid w:val="674F5770"/>
    <w:rsid w:val="67544B35"/>
    <w:rsid w:val="675D1C3B"/>
    <w:rsid w:val="67620F81"/>
    <w:rsid w:val="67B32507"/>
    <w:rsid w:val="67C41B45"/>
    <w:rsid w:val="683A3D2B"/>
    <w:rsid w:val="68ED3493"/>
    <w:rsid w:val="69313380"/>
    <w:rsid w:val="695A0B28"/>
    <w:rsid w:val="696B2EF0"/>
    <w:rsid w:val="697D2663"/>
    <w:rsid w:val="697F058F"/>
    <w:rsid w:val="69A7357A"/>
    <w:rsid w:val="6A0445F0"/>
    <w:rsid w:val="6A130CD7"/>
    <w:rsid w:val="6A2922A9"/>
    <w:rsid w:val="6A971908"/>
    <w:rsid w:val="6ACF2E50"/>
    <w:rsid w:val="6AF74155"/>
    <w:rsid w:val="6AFB1E97"/>
    <w:rsid w:val="6B0A3E88"/>
    <w:rsid w:val="6B1B42E7"/>
    <w:rsid w:val="6B2B3DFF"/>
    <w:rsid w:val="6B32518D"/>
    <w:rsid w:val="6B4C26F3"/>
    <w:rsid w:val="6B4C44A1"/>
    <w:rsid w:val="6B4C4FC6"/>
    <w:rsid w:val="6B655563"/>
    <w:rsid w:val="6B8974A3"/>
    <w:rsid w:val="6BB12556"/>
    <w:rsid w:val="6BE741CA"/>
    <w:rsid w:val="6BEE37AA"/>
    <w:rsid w:val="6C117498"/>
    <w:rsid w:val="6C1A459F"/>
    <w:rsid w:val="6C774A8C"/>
    <w:rsid w:val="6C832144"/>
    <w:rsid w:val="6C9854C4"/>
    <w:rsid w:val="6CB15FBE"/>
    <w:rsid w:val="6CCD33BF"/>
    <w:rsid w:val="6CD830DA"/>
    <w:rsid w:val="6CF3094C"/>
    <w:rsid w:val="6D22667D"/>
    <w:rsid w:val="6D3F489E"/>
    <w:rsid w:val="6DA305C4"/>
    <w:rsid w:val="6DE24C48"/>
    <w:rsid w:val="6DEE6784"/>
    <w:rsid w:val="6E2BFDEB"/>
    <w:rsid w:val="6E3D6323"/>
    <w:rsid w:val="6E71421E"/>
    <w:rsid w:val="6E7855AD"/>
    <w:rsid w:val="6F143527"/>
    <w:rsid w:val="6F173B13"/>
    <w:rsid w:val="6F286FD3"/>
    <w:rsid w:val="6F3F1434"/>
    <w:rsid w:val="6F697D2D"/>
    <w:rsid w:val="6F857F81"/>
    <w:rsid w:val="6F9E70E6"/>
    <w:rsid w:val="6FBB5C7D"/>
    <w:rsid w:val="6FDB2297"/>
    <w:rsid w:val="6FDF1E58"/>
    <w:rsid w:val="6FE33844"/>
    <w:rsid w:val="6FF7CBE2"/>
    <w:rsid w:val="6FFE777C"/>
    <w:rsid w:val="70473489"/>
    <w:rsid w:val="70752122"/>
    <w:rsid w:val="70AC7790"/>
    <w:rsid w:val="70C251BD"/>
    <w:rsid w:val="70F76C5D"/>
    <w:rsid w:val="713003C1"/>
    <w:rsid w:val="715045BF"/>
    <w:rsid w:val="71665B90"/>
    <w:rsid w:val="716F6070"/>
    <w:rsid w:val="717A163C"/>
    <w:rsid w:val="72253C9E"/>
    <w:rsid w:val="72457E9C"/>
    <w:rsid w:val="72646574"/>
    <w:rsid w:val="7270316B"/>
    <w:rsid w:val="729B5D0E"/>
    <w:rsid w:val="729EC632"/>
    <w:rsid w:val="73061D27"/>
    <w:rsid w:val="732B7092"/>
    <w:rsid w:val="73410663"/>
    <w:rsid w:val="73993FFB"/>
    <w:rsid w:val="73AA445A"/>
    <w:rsid w:val="73B6CD71"/>
    <w:rsid w:val="73BD558A"/>
    <w:rsid w:val="73DE5EB2"/>
    <w:rsid w:val="73FF5B54"/>
    <w:rsid w:val="740F250F"/>
    <w:rsid w:val="744228E5"/>
    <w:rsid w:val="7476433D"/>
    <w:rsid w:val="74942A15"/>
    <w:rsid w:val="74A470FC"/>
    <w:rsid w:val="74E7348C"/>
    <w:rsid w:val="751F2C26"/>
    <w:rsid w:val="75252BBD"/>
    <w:rsid w:val="754E52B9"/>
    <w:rsid w:val="755C44C8"/>
    <w:rsid w:val="75731E4E"/>
    <w:rsid w:val="75A137DC"/>
    <w:rsid w:val="75F931FD"/>
    <w:rsid w:val="76C9109B"/>
    <w:rsid w:val="76DF6926"/>
    <w:rsid w:val="76FCED2B"/>
    <w:rsid w:val="77CFE587"/>
    <w:rsid w:val="77DB72D8"/>
    <w:rsid w:val="77EB6DE7"/>
    <w:rsid w:val="77FEA789"/>
    <w:rsid w:val="78162D26"/>
    <w:rsid w:val="78CD7BE4"/>
    <w:rsid w:val="791D747D"/>
    <w:rsid w:val="793EE7BE"/>
    <w:rsid w:val="79490272"/>
    <w:rsid w:val="795F5CE7"/>
    <w:rsid w:val="79DA3BAB"/>
    <w:rsid w:val="79E75DF8"/>
    <w:rsid w:val="7A3031E0"/>
    <w:rsid w:val="7A4B0019"/>
    <w:rsid w:val="7ABD7FDB"/>
    <w:rsid w:val="7ADA28BF"/>
    <w:rsid w:val="7ADFD4B5"/>
    <w:rsid w:val="7AFFAF46"/>
    <w:rsid w:val="7B203043"/>
    <w:rsid w:val="7B68AD3F"/>
    <w:rsid w:val="7B841A35"/>
    <w:rsid w:val="7B87EAE1"/>
    <w:rsid w:val="7BB06386"/>
    <w:rsid w:val="7BB470EE"/>
    <w:rsid w:val="7BBF6A20"/>
    <w:rsid w:val="7BBF8E11"/>
    <w:rsid w:val="7BCB15BB"/>
    <w:rsid w:val="7BDD5A7F"/>
    <w:rsid w:val="7BDF89C2"/>
    <w:rsid w:val="7BDF9F6F"/>
    <w:rsid w:val="7BEBD602"/>
    <w:rsid w:val="7BEF5A86"/>
    <w:rsid w:val="7C134B67"/>
    <w:rsid w:val="7C531F1D"/>
    <w:rsid w:val="7C7A50A1"/>
    <w:rsid w:val="7C9537CE"/>
    <w:rsid w:val="7CAA54CB"/>
    <w:rsid w:val="7CEA3B1A"/>
    <w:rsid w:val="7CF76022"/>
    <w:rsid w:val="7CFBF09C"/>
    <w:rsid w:val="7D1B1B29"/>
    <w:rsid w:val="7D5611AF"/>
    <w:rsid w:val="7D5947FB"/>
    <w:rsid w:val="7D7D2BE0"/>
    <w:rsid w:val="7DB9CB52"/>
    <w:rsid w:val="7DDAE7E0"/>
    <w:rsid w:val="7DF289E2"/>
    <w:rsid w:val="7DF6757C"/>
    <w:rsid w:val="7E3239CA"/>
    <w:rsid w:val="7E4B05E8"/>
    <w:rsid w:val="7E851D4C"/>
    <w:rsid w:val="7E8B30DA"/>
    <w:rsid w:val="7EB0669D"/>
    <w:rsid w:val="7EB7053A"/>
    <w:rsid w:val="7EF7251E"/>
    <w:rsid w:val="7EF90044"/>
    <w:rsid w:val="7EFB9549"/>
    <w:rsid w:val="7F178567"/>
    <w:rsid w:val="7F2ED8BB"/>
    <w:rsid w:val="7F3EA794"/>
    <w:rsid w:val="7F403EC5"/>
    <w:rsid w:val="7F4219EB"/>
    <w:rsid w:val="7F5D5242"/>
    <w:rsid w:val="7F6FFED6"/>
    <w:rsid w:val="7F710522"/>
    <w:rsid w:val="7F791E0A"/>
    <w:rsid w:val="7F7FCDDB"/>
    <w:rsid w:val="7F873D31"/>
    <w:rsid w:val="7FA2A317"/>
    <w:rsid w:val="7FB14DC3"/>
    <w:rsid w:val="7FCB5F40"/>
    <w:rsid w:val="7FD7D7CC"/>
    <w:rsid w:val="7FDEB481"/>
    <w:rsid w:val="7FE72C71"/>
    <w:rsid w:val="7FEE2E6E"/>
    <w:rsid w:val="7FEF9E06"/>
    <w:rsid w:val="7FF3FF45"/>
    <w:rsid w:val="7FF58E52"/>
    <w:rsid w:val="7FF7723F"/>
    <w:rsid w:val="93FF1491"/>
    <w:rsid w:val="95EF6417"/>
    <w:rsid w:val="95FB8221"/>
    <w:rsid w:val="9B175409"/>
    <w:rsid w:val="9DE65D1C"/>
    <w:rsid w:val="9F33ECC9"/>
    <w:rsid w:val="9F3D6169"/>
    <w:rsid w:val="A9DFEF18"/>
    <w:rsid w:val="ABFC0595"/>
    <w:rsid w:val="AFBD20E7"/>
    <w:rsid w:val="AFCDAD87"/>
    <w:rsid w:val="AFDAC0F9"/>
    <w:rsid w:val="AFFFA277"/>
    <w:rsid w:val="B5FDC920"/>
    <w:rsid w:val="B60AC5A0"/>
    <w:rsid w:val="B63EDD2B"/>
    <w:rsid w:val="B65BBA4C"/>
    <w:rsid w:val="B6BB7B68"/>
    <w:rsid w:val="B957BA23"/>
    <w:rsid w:val="B9FE4C49"/>
    <w:rsid w:val="BAFEDD20"/>
    <w:rsid w:val="BBF637FD"/>
    <w:rsid w:val="BCBF5735"/>
    <w:rsid w:val="BD6D5A30"/>
    <w:rsid w:val="BFF3D99E"/>
    <w:rsid w:val="BFF6173A"/>
    <w:rsid w:val="BFFAE229"/>
    <w:rsid w:val="C3BDB92F"/>
    <w:rsid w:val="CFD258DA"/>
    <w:rsid w:val="CFFBCAAC"/>
    <w:rsid w:val="D2FFC0F1"/>
    <w:rsid w:val="D7DF37EA"/>
    <w:rsid w:val="D7FF2870"/>
    <w:rsid w:val="DBD78724"/>
    <w:rsid w:val="DBE41C02"/>
    <w:rsid w:val="DBEB692A"/>
    <w:rsid w:val="DBFB0612"/>
    <w:rsid w:val="DCFBEEF5"/>
    <w:rsid w:val="DDFBED3D"/>
    <w:rsid w:val="DE7D7F55"/>
    <w:rsid w:val="DEEE112F"/>
    <w:rsid w:val="DEF6915E"/>
    <w:rsid w:val="DF7F4C25"/>
    <w:rsid w:val="DFC731B1"/>
    <w:rsid w:val="DFF6E65E"/>
    <w:rsid w:val="E33EEA7A"/>
    <w:rsid w:val="E7BBBA2E"/>
    <w:rsid w:val="E8EE6698"/>
    <w:rsid w:val="E9CF4C0D"/>
    <w:rsid w:val="E9FE03D0"/>
    <w:rsid w:val="EB6F25CE"/>
    <w:rsid w:val="EC7F0096"/>
    <w:rsid w:val="EDAFE65C"/>
    <w:rsid w:val="EE67B706"/>
    <w:rsid w:val="EE978CC3"/>
    <w:rsid w:val="EF3FD0EC"/>
    <w:rsid w:val="EF9F8187"/>
    <w:rsid w:val="EFCABA23"/>
    <w:rsid w:val="EFEBAFF5"/>
    <w:rsid w:val="F18D14D7"/>
    <w:rsid w:val="F3B7278A"/>
    <w:rsid w:val="F6271AFD"/>
    <w:rsid w:val="F77F01A5"/>
    <w:rsid w:val="F7CD7444"/>
    <w:rsid w:val="F7F30614"/>
    <w:rsid w:val="F7F7C27B"/>
    <w:rsid w:val="FACEC7BD"/>
    <w:rsid w:val="FACF1A2F"/>
    <w:rsid w:val="FB7D4521"/>
    <w:rsid w:val="FBAB5A7D"/>
    <w:rsid w:val="FBFD75D0"/>
    <w:rsid w:val="FBFF2C64"/>
    <w:rsid w:val="FCBB4350"/>
    <w:rsid w:val="FCFB4A76"/>
    <w:rsid w:val="FD2C6288"/>
    <w:rsid w:val="FD8F295A"/>
    <w:rsid w:val="FDF5B4B4"/>
    <w:rsid w:val="FDFF7315"/>
    <w:rsid w:val="FE1A28AC"/>
    <w:rsid w:val="FE7FDB08"/>
    <w:rsid w:val="FF588A52"/>
    <w:rsid w:val="FF5E403C"/>
    <w:rsid w:val="FF5FF044"/>
    <w:rsid w:val="FF7BB4ED"/>
    <w:rsid w:val="FFB216D2"/>
    <w:rsid w:val="FFBD8B35"/>
    <w:rsid w:val="FFBFA200"/>
    <w:rsid w:val="FFC2755D"/>
    <w:rsid w:val="FFDED16B"/>
    <w:rsid w:val="FFEA4D97"/>
    <w:rsid w:val="FFEB0408"/>
    <w:rsid w:val="FFFD3C52"/>
    <w:rsid w:val="FFFDDC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pPr>
    <w:rPr>
      <w:rFonts w:ascii="仿宋_GB2312" w:eastAsia="仿宋_GB2312"/>
      <w:szCs w:val="32"/>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unhideWhenUsed/>
    <w:qFormat/>
    <w:uiPriority w:val="99"/>
    <w:pPr>
      <w:spacing w:after="120"/>
      <w:ind w:left="420" w:leftChars="200"/>
    </w:pPr>
  </w:style>
  <w:style w:type="paragraph" w:styleId="5">
    <w:name w:val="Normal Indent"/>
    <w:next w:val="1"/>
    <w:qFormat/>
    <w:uiPriority w:val="0"/>
    <w:pPr>
      <w:widowControl w:val="0"/>
      <w:ind w:firstLine="200" w:firstLineChars="200"/>
      <w:jc w:val="both"/>
    </w:pPr>
    <w:rPr>
      <w:rFonts w:ascii="Times New Roman" w:hAnsi="Times New Roman" w:eastAsia="仿宋_GB2312" w:cs="Times New Roman"/>
      <w:kern w:val="2"/>
      <w:sz w:val="32"/>
      <w:szCs w:val="32"/>
      <w:lang w:val="en-US" w:eastAsia="zh-CN" w:bidi="ar-SA"/>
    </w:rPr>
  </w:style>
  <w:style w:type="paragraph" w:styleId="6">
    <w:name w:val="Document Map"/>
    <w:basedOn w:val="1"/>
    <w:qFormat/>
    <w:uiPriority w:val="0"/>
    <w:rPr>
      <w:sz w:val="18"/>
      <w:szCs w:val="18"/>
    </w:rPr>
  </w:style>
  <w:style w:type="paragraph" w:styleId="7">
    <w:name w:val="Body Text Indent 2"/>
    <w:basedOn w:val="1"/>
    <w:next w:val="8"/>
    <w:qFormat/>
    <w:uiPriority w:val="0"/>
    <w:pPr>
      <w:spacing w:after="120" w:line="480" w:lineRule="auto"/>
      <w:ind w:left="420" w:leftChars="200"/>
    </w:pPr>
    <w:rPr>
      <w:rFonts w:ascii="Times New Roman" w:hAnsi="Times New Roman" w:eastAsia="宋体" w:cs="Times New Roman"/>
    </w:rPr>
  </w:style>
  <w:style w:type="paragraph" w:styleId="8">
    <w:name w:val="Body Text Indent 3"/>
    <w:basedOn w:val="1"/>
    <w:qFormat/>
    <w:uiPriority w:val="0"/>
    <w:pPr>
      <w:ind w:left="200" w:leftChars="200"/>
    </w:pPr>
    <w:rPr>
      <w:rFonts w:ascii="Times New Roman" w:hAnsi="Times New Roman" w:eastAsia="宋体" w:cs="Times New Roman"/>
      <w:sz w:val="16"/>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next w:val="3"/>
    <w:qFormat/>
    <w:uiPriority w:val="0"/>
    <w:pPr>
      <w:snapToGrid w:val="0"/>
      <w:jc w:val="left"/>
    </w:pPr>
    <w:rPr>
      <w:rFonts w:ascii="Times New Roman" w:hAnsi="Times New Roman" w:eastAsia="宋体" w:cs="Times New Roman"/>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10"/>
    <w:pPr>
      <w:spacing w:before="240" w:after="60"/>
      <w:jc w:val="center"/>
      <w:outlineLvl w:val="0"/>
    </w:pPr>
    <w:rPr>
      <w:rFonts w:ascii="Cambria" w:hAnsi="Cambria" w:eastAsia="方正小标宋简体"/>
      <w:bCs/>
      <w:sz w:val="44"/>
      <w:szCs w:val="32"/>
    </w:rPr>
  </w:style>
  <w:style w:type="paragraph" w:styleId="15">
    <w:name w:val="Body Text First Indent"/>
    <w:basedOn w:val="2"/>
    <w:next w:val="1"/>
    <w:qFormat/>
    <w:uiPriority w:val="0"/>
    <w:pPr>
      <w:spacing w:line="360" w:lineRule="auto"/>
      <w:ind w:firstLine="720" w:firstLineChars="200"/>
      <w:jc w:val="left"/>
    </w:pPr>
    <w:rPr>
      <w:rFonts w:ascii="Times New Roman" w:hAnsi="Times New Roman" w:eastAsia="宋体" w:cs="宋体"/>
      <w:szCs w:val="2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Emphasis"/>
    <w:basedOn w:val="18"/>
    <w:qFormat/>
    <w:uiPriority w:val="0"/>
    <w:rPr>
      <w:i/>
    </w:rPr>
  </w:style>
  <w:style w:type="character" w:customStyle="1" w:styleId="22">
    <w:name w:val="NormalCharacter"/>
    <w:link w:val="23"/>
    <w:qFormat/>
    <w:uiPriority w:val="0"/>
    <w:rPr>
      <w:rFonts w:ascii="宋体" w:hAnsi="宋体"/>
      <w:b/>
      <w:kern w:val="0"/>
      <w:sz w:val="28"/>
      <w:szCs w:val="28"/>
    </w:rPr>
  </w:style>
  <w:style w:type="paragraph" w:customStyle="1" w:styleId="23">
    <w:name w:val="UserStyle_5"/>
    <w:basedOn w:val="1"/>
    <w:link w:val="22"/>
    <w:qFormat/>
    <w:uiPriority w:val="0"/>
    <w:pPr>
      <w:widowControl/>
      <w:spacing w:line="360" w:lineRule="auto"/>
      <w:textAlignment w:val="baseline"/>
    </w:pPr>
    <w:rPr>
      <w:rFonts w:ascii="宋体" w:hAnsi="宋体"/>
      <w:b/>
      <w:kern w:val="0"/>
      <w:sz w:val="28"/>
      <w:szCs w:val="28"/>
    </w:rPr>
  </w:style>
  <w:style w:type="paragraph" w:customStyle="1" w:styleId="24">
    <w:name w:val="明显引用1"/>
    <w:next w:val="1"/>
    <w:qFormat/>
    <w:uiPriority w:val="99"/>
    <w:pPr>
      <w:wordWrap w:val="0"/>
      <w:spacing w:before="360" w:after="360"/>
      <w:ind w:left="950" w:right="950"/>
      <w:jc w:val="center"/>
    </w:pPr>
    <w:rPr>
      <w:rFonts w:ascii="Times New Roman" w:hAnsi="Times New Roman" w:eastAsia="宋体" w:cs="Times New Roman"/>
      <w:i/>
      <w:iCs/>
      <w:sz w:val="21"/>
      <w:szCs w:val="21"/>
      <w:lang w:val="en-US" w:eastAsia="zh-CN" w:bidi="ar-SA"/>
    </w:rPr>
  </w:style>
  <w:style w:type="paragraph" w:customStyle="1" w:styleId="25">
    <w:name w:val="无间隔1"/>
    <w:basedOn w:val="1"/>
    <w:qFormat/>
    <w:uiPriority w:val="99"/>
    <w:pPr>
      <w:adjustRightInd w:val="0"/>
      <w:snapToGrid w:val="0"/>
      <w:spacing w:before="100" w:beforeAutospacing="1"/>
    </w:pPr>
    <w:rPr>
      <w:rFonts w:ascii="Tahoma" w:hAnsi="Tahoma" w:eastAsia="仿宋"/>
      <w:kern w:val="0"/>
      <w:sz w:val="32"/>
      <w:szCs w:val="32"/>
    </w:rPr>
  </w:style>
  <w:style w:type="paragraph" w:customStyle="1" w:styleId="26">
    <w:name w:val="正  文"/>
    <w:basedOn w:val="1"/>
    <w:qFormat/>
    <w:uiPriority w:val="99"/>
    <w:pPr>
      <w:spacing w:line="360" w:lineRule="auto"/>
      <w:ind w:firstLine="200" w:firstLineChars="200"/>
      <w:jc w:val="left"/>
    </w:pPr>
    <w:rPr>
      <w:rFonts w:ascii="宋体" w:hAnsi="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8238</Words>
  <Characters>8369</Characters>
  <Lines>0</Lines>
  <Paragraphs>0</Paragraphs>
  <TotalTime>22</TotalTime>
  <ScaleCrop>false</ScaleCrop>
  <LinksUpToDate>false</LinksUpToDate>
  <CharactersWithSpaces>8424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2014-11-26T04:08:00Z</dcterms:created>
  <dc:creator>Administrator</dc:creator>
  <cp:lastModifiedBy>gxxc</cp:lastModifiedBy>
  <cp:lastPrinted>2025-02-27T18:38:00Z</cp:lastPrinted>
  <dcterms:modified xsi:type="dcterms:W3CDTF">2025-03-21T09:55:45Z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KSOTemplateDocerSaveRecord">
    <vt:lpwstr>eyJoZGlkIjoiYTBlYzNkNDExYTdkMjU4ZjY3MWY2NzhmYTZmOGM4MGEifQ==</vt:lpwstr>
  </property>
  <property fmtid="{D5CDD505-2E9C-101B-9397-08002B2CF9AE}" pid="4" name="ICV">
    <vt:lpwstr>A6B059EC00B94D15A5FA76E4D6EAE58C_13</vt:lpwstr>
  </property>
</Properties>
</file>